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2E977A0">
      <w:pPr>
        <w:keepNext w:val="0"/>
        <w:keepLines w:val="0"/>
        <w:pageBreakBefore w:val="0"/>
        <w:kinsoku/>
        <w:wordWrap/>
        <w:overflowPunct/>
        <w:topLinePunct w:val="0"/>
        <w:autoSpaceDE/>
        <w:autoSpaceDN/>
        <w:bidi w:val="0"/>
        <w:adjustRightInd w:val="0"/>
        <w:snapToGrid w:val="0"/>
        <w:spacing w:after="0" w:line="348" w:lineRule="auto"/>
        <w:textAlignment w:val="auto"/>
        <w:rPr>
          <w:rFonts w:hint="eastAsia" w:cs="仿宋"/>
          <w:bCs/>
          <w:sz w:val="32"/>
          <w:szCs w:val="32"/>
          <w:lang w:eastAsia="zh-CN"/>
        </w:rPr>
      </w:pPr>
      <w:bookmarkStart w:id="5" w:name="_GoBack"/>
      <w:bookmarkEnd w:id="5"/>
      <w:r>
        <w:rPr>
          <w:rFonts w:hint="eastAsia" w:cs="仿宋"/>
          <w:bCs/>
          <w:sz w:val="32"/>
          <w:szCs w:val="32"/>
          <w:lang w:eastAsia="zh-CN"/>
        </w:rPr>
        <w:t>附件</w:t>
      </w:r>
      <w:r>
        <w:rPr>
          <w:rFonts w:hint="default" w:ascii="Times New Roman" w:hAnsi="Times New Roman" w:cs="Times New Roman"/>
          <w:bCs/>
          <w:sz w:val="32"/>
          <w:szCs w:val="32"/>
          <w:lang w:eastAsia="zh-CN"/>
        </w:rPr>
        <w:t>1</w:t>
      </w:r>
    </w:p>
    <w:p w14:paraId="58EA2843">
      <w:pPr>
        <w:keepNext w:val="0"/>
        <w:keepLines w:val="0"/>
        <w:pageBreakBefore w:val="0"/>
        <w:widowControl/>
        <w:kinsoku/>
        <w:wordWrap/>
        <w:overflowPunct/>
        <w:topLinePunct w:val="0"/>
        <w:autoSpaceDE/>
        <w:autoSpaceDN/>
        <w:bidi w:val="0"/>
        <w:adjustRightInd w:val="0"/>
        <w:snapToGrid w:val="0"/>
        <w:spacing w:before="181" w:beforeLines="50" w:after="0" w:line="348" w:lineRule="auto"/>
        <w:jc w:val="center"/>
        <w:textAlignment w:val="auto"/>
        <w:rPr>
          <w:rFonts w:hint="eastAsia" w:ascii="方正小标宋简体" w:hAnsi="方正小标宋简体" w:eastAsia="方正小标宋简体"/>
          <w:bCs/>
          <w:sz w:val="36"/>
          <w:szCs w:val="36"/>
          <w:lang w:eastAsia="zh-CN"/>
        </w:rPr>
      </w:pPr>
      <w:r>
        <w:rPr>
          <w:rFonts w:ascii="方正小标宋简体" w:hAnsi="方正小标宋简体" w:eastAsia="方正小标宋简体"/>
          <w:bCs/>
          <w:sz w:val="36"/>
          <w:szCs w:val="36"/>
          <w:lang w:eastAsia="zh-CN"/>
        </w:rPr>
        <w:t>第五届教育评价学术年会</w:t>
      </w:r>
    </w:p>
    <w:p w14:paraId="6C4D7F93">
      <w:pPr>
        <w:keepNext w:val="0"/>
        <w:keepLines w:val="0"/>
        <w:pageBreakBefore w:val="0"/>
        <w:kinsoku/>
        <w:wordWrap/>
        <w:overflowPunct/>
        <w:topLinePunct w:val="0"/>
        <w:autoSpaceDE/>
        <w:autoSpaceDN/>
        <w:bidi w:val="0"/>
        <w:adjustRightInd w:val="0"/>
        <w:snapToGrid w:val="0"/>
        <w:spacing w:after="0" w:line="348" w:lineRule="auto"/>
        <w:jc w:val="center"/>
        <w:textAlignment w:val="auto"/>
        <w:rPr>
          <w:rFonts w:hint="eastAsia" w:ascii="方正小标宋简体" w:hAnsi="方正小标宋简体" w:eastAsia="方正小标宋简体"/>
          <w:bCs/>
          <w:sz w:val="36"/>
          <w:szCs w:val="36"/>
          <w:lang w:eastAsia="zh-CN"/>
        </w:rPr>
      </w:pPr>
      <w:r>
        <w:rPr>
          <w:rFonts w:hint="eastAsia" w:ascii="方正小标宋简体" w:hAnsi="方正小标宋简体" w:eastAsia="方正小标宋简体"/>
          <w:bCs/>
          <w:sz w:val="36"/>
          <w:szCs w:val="36"/>
          <w:lang w:val="en-US" w:eastAsia="zh-CN"/>
        </w:rPr>
        <w:t>创新</w:t>
      </w:r>
      <w:r>
        <w:rPr>
          <w:rFonts w:ascii="方正小标宋简体" w:hAnsi="方正小标宋简体" w:eastAsia="方正小标宋简体"/>
          <w:bCs/>
          <w:sz w:val="36"/>
          <w:szCs w:val="36"/>
          <w:lang w:eastAsia="zh-CN"/>
        </w:rPr>
        <w:t>案例</w:t>
      </w:r>
      <w:r>
        <w:rPr>
          <w:rFonts w:hint="eastAsia" w:ascii="方正小标宋简体" w:hAnsi="方正小标宋简体" w:eastAsia="方正小标宋简体"/>
          <w:bCs/>
          <w:sz w:val="36"/>
          <w:szCs w:val="36"/>
          <w:lang w:eastAsia="zh-CN"/>
        </w:rPr>
        <w:t>与</w:t>
      </w:r>
      <w:r>
        <w:rPr>
          <w:rFonts w:ascii="方正小标宋简体" w:hAnsi="方正小标宋简体" w:eastAsia="方正小标宋简体"/>
          <w:bCs/>
          <w:sz w:val="36"/>
          <w:szCs w:val="36"/>
          <w:lang w:eastAsia="zh-CN"/>
        </w:rPr>
        <w:t>展示</w:t>
      </w:r>
      <w:r>
        <w:rPr>
          <w:rFonts w:hint="eastAsia" w:ascii="方正小标宋简体" w:hAnsi="方正小标宋简体" w:eastAsia="方正小标宋简体"/>
          <w:bCs/>
          <w:sz w:val="36"/>
          <w:szCs w:val="36"/>
          <w:lang w:eastAsia="zh-CN"/>
        </w:rPr>
        <w:t>成果</w:t>
      </w:r>
      <w:r>
        <w:rPr>
          <w:rFonts w:ascii="方正小标宋简体" w:hAnsi="方正小标宋简体" w:eastAsia="方正小标宋简体"/>
          <w:bCs/>
          <w:sz w:val="36"/>
          <w:szCs w:val="36"/>
          <w:lang w:eastAsia="zh-CN"/>
        </w:rPr>
        <w:t>征集</w:t>
      </w:r>
      <w:r>
        <w:rPr>
          <w:rFonts w:hint="eastAsia" w:ascii="方正小标宋简体" w:hAnsi="方正小标宋简体" w:eastAsia="方正小标宋简体"/>
          <w:bCs/>
          <w:sz w:val="36"/>
          <w:szCs w:val="36"/>
          <w:lang w:eastAsia="zh-CN"/>
        </w:rPr>
        <w:t>指南</w:t>
      </w:r>
    </w:p>
    <w:p w14:paraId="742420DC">
      <w:pPr>
        <w:keepNext w:val="0"/>
        <w:keepLines w:val="0"/>
        <w:pageBreakBefore w:val="0"/>
        <w:kinsoku/>
        <w:wordWrap/>
        <w:overflowPunct/>
        <w:topLinePunct w:val="0"/>
        <w:autoSpaceDE/>
        <w:autoSpaceDN/>
        <w:bidi w:val="0"/>
        <w:adjustRightInd w:val="0"/>
        <w:snapToGrid w:val="0"/>
        <w:spacing w:after="0" w:line="348" w:lineRule="auto"/>
        <w:textAlignment w:val="auto"/>
        <w:rPr>
          <w:rFonts w:hint="eastAsia"/>
          <w:sz w:val="32"/>
          <w:szCs w:val="32"/>
          <w:lang w:eastAsia="zh-CN"/>
        </w:rPr>
      </w:pPr>
    </w:p>
    <w:p w14:paraId="290D9EDF">
      <w:pPr>
        <w:keepNext w:val="0"/>
        <w:keepLines w:val="0"/>
        <w:pageBreakBefore w:val="0"/>
        <w:kinsoku/>
        <w:wordWrap/>
        <w:overflowPunct/>
        <w:topLinePunct w:val="0"/>
        <w:autoSpaceDE/>
        <w:autoSpaceDN/>
        <w:bidi w:val="0"/>
        <w:adjustRightInd w:val="0"/>
        <w:snapToGrid w:val="0"/>
        <w:spacing w:after="0" w:line="348" w:lineRule="auto"/>
        <w:ind w:firstLine="640" w:firstLineChars="200"/>
        <w:textAlignment w:val="auto"/>
        <w:rPr>
          <w:rFonts w:hint="eastAsia"/>
          <w:bCs/>
          <w:sz w:val="32"/>
          <w:szCs w:val="32"/>
          <w:lang w:eastAsia="zh-CN"/>
        </w:rPr>
      </w:pPr>
      <w:r>
        <w:rPr>
          <w:rFonts w:ascii="黑体" w:hAnsi="黑体" w:eastAsia="黑体"/>
          <w:bCs/>
          <w:sz w:val="32"/>
          <w:szCs w:val="32"/>
          <w:lang w:eastAsia="zh-CN"/>
        </w:rPr>
        <w:t>一</w:t>
      </w:r>
      <w:r>
        <w:rPr>
          <w:rFonts w:hint="eastAsia" w:ascii="黑体" w:hAnsi="黑体" w:eastAsia="黑体"/>
          <w:bCs/>
          <w:sz w:val="32"/>
          <w:szCs w:val="32"/>
          <w:lang w:eastAsia="zh-CN"/>
        </w:rPr>
        <w:t>、</w:t>
      </w:r>
      <w:r>
        <w:rPr>
          <w:rFonts w:ascii="黑体" w:hAnsi="黑体" w:eastAsia="黑体"/>
          <w:bCs/>
          <w:sz w:val="32"/>
          <w:szCs w:val="32"/>
          <w:lang w:eastAsia="zh-CN"/>
        </w:rPr>
        <w:t>基础教育</w:t>
      </w:r>
      <w:r>
        <w:rPr>
          <w:rFonts w:hint="eastAsia" w:ascii="黑体" w:hAnsi="黑体" w:eastAsia="黑体"/>
          <w:bCs/>
          <w:sz w:val="32"/>
          <w:szCs w:val="32"/>
          <w:lang w:eastAsia="zh-CN"/>
        </w:rPr>
        <w:t>评价改革</w:t>
      </w:r>
    </w:p>
    <w:p w14:paraId="0A9489BC">
      <w:pPr>
        <w:keepNext w:val="0"/>
        <w:keepLines w:val="0"/>
        <w:pageBreakBefore w:val="0"/>
        <w:kinsoku/>
        <w:wordWrap/>
        <w:overflowPunct/>
        <w:topLinePunct w:val="0"/>
        <w:autoSpaceDE/>
        <w:autoSpaceDN/>
        <w:bidi w:val="0"/>
        <w:adjustRightInd w:val="0"/>
        <w:snapToGrid w:val="0"/>
        <w:spacing w:after="0" w:line="348" w:lineRule="auto"/>
        <w:ind w:firstLine="640" w:firstLineChars="200"/>
        <w:textAlignment w:val="auto"/>
        <w:rPr>
          <w:rFonts w:hint="eastAsia"/>
          <w:sz w:val="32"/>
          <w:szCs w:val="32"/>
          <w:lang w:eastAsia="zh-CN"/>
        </w:rPr>
      </w:pPr>
      <w:r>
        <w:rPr>
          <w:sz w:val="32"/>
          <w:szCs w:val="32"/>
          <w:lang w:eastAsia="zh-CN"/>
        </w:rPr>
        <w:t>聚焦基础教育评价改革</w:t>
      </w:r>
      <w:r>
        <w:rPr>
          <w:rFonts w:hint="eastAsia"/>
          <w:sz w:val="32"/>
          <w:szCs w:val="32"/>
          <w:lang w:eastAsia="zh-CN"/>
        </w:rPr>
        <w:t>落实落地</w:t>
      </w:r>
      <w:r>
        <w:rPr>
          <w:sz w:val="32"/>
          <w:szCs w:val="32"/>
          <w:lang w:eastAsia="zh-CN"/>
        </w:rPr>
        <w:t>的重点领域和关键环节，围绕《义务教育质量评价指南》《普通高中学校办学质量评价指南》《幼儿园保育教育质量评估指南》《特殊教育办学质量评价指南》</w:t>
      </w:r>
      <w:r>
        <w:rPr>
          <w:rFonts w:hint="eastAsia"/>
          <w:sz w:val="32"/>
          <w:szCs w:val="32"/>
          <w:lang w:eastAsia="zh-CN"/>
        </w:rPr>
        <w:t>评价标准</w:t>
      </w:r>
      <w:r>
        <w:rPr>
          <w:sz w:val="32"/>
          <w:szCs w:val="32"/>
          <w:lang w:eastAsia="zh-CN"/>
        </w:rPr>
        <w:t>的细化实施，关注学生全面发展、课程教学改革和考试评价创新。</w:t>
      </w:r>
    </w:p>
    <w:p w14:paraId="7F74B807">
      <w:pPr>
        <w:keepNext w:val="0"/>
        <w:keepLines w:val="0"/>
        <w:pageBreakBefore w:val="0"/>
        <w:kinsoku/>
        <w:wordWrap/>
        <w:overflowPunct/>
        <w:topLinePunct w:val="0"/>
        <w:autoSpaceDE/>
        <w:autoSpaceDN/>
        <w:bidi w:val="0"/>
        <w:adjustRightInd w:val="0"/>
        <w:snapToGrid w:val="0"/>
        <w:spacing w:after="0" w:line="348" w:lineRule="auto"/>
        <w:ind w:firstLine="643" w:firstLineChars="200"/>
        <w:textAlignment w:val="auto"/>
        <w:rPr>
          <w:rFonts w:hint="eastAsia"/>
          <w:sz w:val="32"/>
          <w:szCs w:val="32"/>
          <w:lang w:eastAsia="zh-CN"/>
        </w:rPr>
      </w:pPr>
      <w:r>
        <w:rPr>
          <w:rFonts w:ascii="Times New Roman" w:hAnsi="Times New Roman" w:cs="Times New Roman"/>
          <w:b/>
          <w:sz w:val="32"/>
          <w:szCs w:val="32"/>
          <w:lang w:eastAsia="zh-CN"/>
        </w:rPr>
        <w:t>1.</w:t>
      </w:r>
      <w:r>
        <w:rPr>
          <w:b/>
          <w:sz w:val="32"/>
          <w:szCs w:val="32"/>
          <w:lang w:eastAsia="zh-CN"/>
        </w:rPr>
        <w:t>“四个指南”评价标准的校本实践：</w:t>
      </w:r>
      <w:r>
        <w:rPr>
          <w:rFonts w:hint="eastAsia"/>
          <w:sz w:val="32"/>
          <w:szCs w:val="32"/>
          <w:lang w:eastAsia="zh-CN"/>
        </w:rPr>
        <w:t>四类</w:t>
      </w:r>
      <w:r>
        <w:rPr>
          <w:sz w:val="32"/>
          <w:szCs w:val="32"/>
          <w:lang w:eastAsia="zh-CN"/>
        </w:rPr>
        <w:t>评价标准的校本</w:t>
      </w:r>
      <w:r>
        <w:rPr>
          <w:rFonts w:hint="eastAsia"/>
          <w:sz w:val="32"/>
          <w:szCs w:val="32"/>
          <w:lang w:eastAsia="zh-CN"/>
        </w:rPr>
        <w:t>（园本）转化与</w:t>
      </w:r>
      <w:r>
        <w:rPr>
          <w:sz w:val="32"/>
          <w:szCs w:val="32"/>
          <w:lang w:eastAsia="zh-CN"/>
        </w:rPr>
        <w:t>评价指标体系构建与应用</w:t>
      </w:r>
      <w:r>
        <w:rPr>
          <w:rFonts w:hint="eastAsia"/>
          <w:sz w:val="32"/>
          <w:szCs w:val="32"/>
          <w:lang w:eastAsia="zh-CN"/>
        </w:rPr>
        <w:t>，</w:t>
      </w:r>
      <w:r>
        <w:rPr>
          <w:sz w:val="32"/>
          <w:szCs w:val="32"/>
          <w:lang w:eastAsia="zh-CN"/>
        </w:rPr>
        <w:t>学校自评自建与内部质量保障制度建设，评价结果的运用与反馈改进机制。</w:t>
      </w:r>
    </w:p>
    <w:p w14:paraId="3BC4D05E">
      <w:pPr>
        <w:keepNext w:val="0"/>
        <w:keepLines w:val="0"/>
        <w:pageBreakBefore w:val="0"/>
        <w:kinsoku/>
        <w:wordWrap/>
        <w:overflowPunct/>
        <w:topLinePunct w:val="0"/>
        <w:autoSpaceDE/>
        <w:autoSpaceDN/>
        <w:bidi w:val="0"/>
        <w:adjustRightInd w:val="0"/>
        <w:snapToGrid w:val="0"/>
        <w:spacing w:after="0" w:line="348" w:lineRule="auto"/>
        <w:ind w:firstLine="643" w:firstLineChars="200"/>
        <w:textAlignment w:val="auto"/>
        <w:rPr>
          <w:rFonts w:hint="eastAsia"/>
          <w:sz w:val="32"/>
          <w:szCs w:val="32"/>
          <w:lang w:eastAsia="zh-CN"/>
        </w:rPr>
      </w:pPr>
      <w:r>
        <w:rPr>
          <w:rFonts w:ascii="Times New Roman" w:hAnsi="Times New Roman" w:cs="Times New Roman"/>
          <w:b/>
          <w:sz w:val="32"/>
          <w:szCs w:val="32"/>
          <w:lang w:eastAsia="zh-CN"/>
        </w:rPr>
        <w:t xml:space="preserve">2. </w:t>
      </w:r>
      <w:r>
        <w:rPr>
          <w:b/>
          <w:sz w:val="32"/>
          <w:szCs w:val="32"/>
          <w:lang w:eastAsia="zh-CN"/>
        </w:rPr>
        <w:t>学生德智体美劳全面发展评价的实践创新：</w:t>
      </w:r>
      <w:r>
        <w:rPr>
          <w:sz w:val="32"/>
          <w:szCs w:val="32"/>
          <w:lang w:eastAsia="zh-CN"/>
        </w:rPr>
        <w:t>五育并举</w:t>
      </w:r>
      <w:r>
        <w:rPr>
          <w:rFonts w:hint="eastAsia"/>
          <w:sz w:val="32"/>
          <w:szCs w:val="32"/>
          <w:lang w:eastAsia="zh-CN"/>
        </w:rPr>
        <w:t>、五育融合导向的</w:t>
      </w:r>
      <w:r>
        <w:rPr>
          <w:sz w:val="32"/>
          <w:szCs w:val="32"/>
          <w:lang w:eastAsia="zh-CN"/>
        </w:rPr>
        <w:t>综合素质评价体系构建与实施，学生综合素质发展数字档案建设与应用，任课教师对学生学业的述评，学生发展全过程纵向评价与全要素横向评价、增值评价等典型做法。</w:t>
      </w:r>
    </w:p>
    <w:p w14:paraId="087A6850">
      <w:pPr>
        <w:keepNext w:val="0"/>
        <w:keepLines w:val="0"/>
        <w:pageBreakBefore w:val="0"/>
        <w:kinsoku/>
        <w:wordWrap/>
        <w:overflowPunct/>
        <w:topLinePunct w:val="0"/>
        <w:autoSpaceDE/>
        <w:autoSpaceDN/>
        <w:bidi w:val="0"/>
        <w:adjustRightInd w:val="0"/>
        <w:snapToGrid w:val="0"/>
        <w:spacing w:after="0" w:line="348" w:lineRule="auto"/>
        <w:ind w:firstLine="643" w:firstLineChars="200"/>
        <w:textAlignment w:val="auto"/>
        <w:rPr>
          <w:rFonts w:hint="eastAsia"/>
          <w:sz w:val="32"/>
          <w:szCs w:val="32"/>
          <w:lang w:eastAsia="zh-CN"/>
        </w:rPr>
      </w:pPr>
      <w:r>
        <w:rPr>
          <w:rFonts w:ascii="Times New Roman" w:hAnsi="Times New Roman" w:cs="Times New Roman"/>
          <w:b/>
          <w:sz w:val="32"/>
          <w:szCs w:val="32"/>
          <w:lang w:eastAsia="zh-CN"/>
        </w:rPr>
        <w:t xml:space="preserve">3. </w:t>
      </w:r>
      <w:r>
        <w:rPr>
          <w:b/>
          <w:sz w:val="32"/>
          <w:szCs w:val="32"/>
          <w:lang w:eastAsia="zh-CN"/>
        </w:rPr>
        <w:t>中高考改革背景下的考试评价</w:t>
      </w:r>
      <w:r>
        <w:rPr>
          <w:rFonts w:hint="eastAsia"/>
          <w:b/>
          <w:sz w:val="32"/>
          <w:szCs w:val="32"/>
          <w:lang w:eastAsia="zh-CN"/>
        </w:rPr>
        <w:t>改革</w:t>
      </w:r>
      <w:r>
        <w:rPr>
          <w:b/>
          <w:sz w:val="32"/>
          <w:szCs w:val="32"/>
          <w:lang w:eastAsia="zh-CN"/>
        </w:rPr>
        <w:t>：</w:t>
      </w:r>
      <w:r>
        <w:rPr>
          <w:sz w:val="32"/>
          <w:szCs w:val="32"/>
          <w:lang w:eastAsia="zh-CN"/>
        </w:rPr>
        <w:t>基于学业质量评价标准与核心素养立意的考试命题改革</w:t>
      </w:r>
      <w:r>
        <w:rPr>
          <w:rFonts w:hint="eastAsia"/>
          <w:sz w:val="32"/>
          <w:szCs w:val="32"/>
          <w:lang w:eastAsia="zh-CN"/>
        </w:rPr>
        <w:t>，</w:t>
      </w:r>
      <w:r>
        <w:rPr>
          <w:sz w:val="32"/>
          <w:szCs w:val="32"/>
          <w:lang w:eastAsia="zh-CN"/>
        </w:rPr>
        <w:t>综合素质评价在</w:t>
      </w:r>
      <w:r>
        <w:rPr>
          <w:rFonts w:hint="eastAsia"/>
          <w:sz w:val="32"/>
          <w:szCs w:val="32"/>
          <w:lang w:eastAsia="zh-CN"/>
        </w:rPr>
        <w:t>中高考</w:t>
      </w:r>
      <w:r>
        <w:rPr>
          <w:sz w:val="32"/>
          <w:szCs w:val="32"/>
          <w:lang w:eastAsia="zh-CN"/>
        </w:rPr>
        <w:t>招生录取中的运用</w:t>
      </w:r>
      <w:r>
        <w:rPr>
          <w:rFonts w:hint="eastAsia"/>
          <w:sz w:val="32"/>
          <w:szCs w:val="32"/>
          <w:lang w:eastAsia="zh-CN"/>
        </w:rPr>
        <w:t>，</w:t>
      </w:r>
      <w:r>
        <w:rPr>
          <w:sz w:val="32"/>
          <w:szCs w:val="32"/>
          <w:lang w:eastAsia="zh-CN"/>
        </w:rPr>
        <w:t>“教—学—评”</w:t>
      </w:r>
      <w:r>
        <w:rPr>
          <w:rFonts w:hint="eastAsia"/>
          <w:sz w:val="32"/>
          <w:szCs w:val="32"/>
          <w:lang w:eastAsia="zh-CN"/>
        </w:rPr>
        <w:t>一体化</w:t>
      </w:r>
      <w:r>
        <w:rPr>
          <w:sz w:val="32"/>
          <w:szCs w:val="32"/>
          <w:lang w:eastAsia="zh-CN"/>
        </w:rPr>
        <w:t>实践探索。</w:t>
      </w:r>
    </w:p>
    <w:p w14:paraId="5B008773">
      <w:pPr>
        <w:keepNext w:val="0"/>
        <w:keepLines w:val="0"/>
        <w:pageBreakBefore w:val="0"/>
        <w:widowControl w:val="0"/>
        <w:kinsoku/>
        <w:wordWrap/>
        <w:overflowPunct/>
        <w:topLinePunct w:val="0"/>
        <w:autoSpaceDE/>
        <w:autoSpaceDN/>
        <w:bidi w:val="0"/>
        <w:adjustRightInd w:val="0"/>
        <w:snapToGrid w:val="0"/>
        <w:spacing w:after="0" w:line="348" w:lineRule="auto"/>
        <w:ind w:firstLine="643" w:firstLineChars="200"/>
        <w:textAlignment w:val="auto"/>
        <w:rPr>
          <w:rFonts w:hint="eastAsia"/>
          <w:sz w:val="32"/>
          <w:szCs w:val="32"/>
          <w:lang w:eastAsia="zh-CN"/>
        </w:rPr>
      </w:pPr>
      <w:r>
        <w:rPr>
          <w:rFonts w:ascii="Times New Roman" w:hAnsi="Times New Roman" w:cs="Times New Roman"/>
          <w:b/>
          <w:sz w:val="32"/>
          <w:szCs w:val="32"/>
          <w:lang w:eastAsia="zh-CN"/>
        </w:rPr>
        <w:t xml:space="preserve">4. </w:t>
      </w:r>
      <w:r>
        <w:rPr>
          <w:b/>
          <w:sz w:val="32"/>
          <w:szCs w:val="32"/>
          <w:lang w:eastAsia="zh-CN"/>
        </w:rPr>
        <w:t>课堂教学评价与学业质量监测改革：</w:t>
      </w:r>
      <w:r>
        <w:rPr>
          <w:sz w:val="32"/>
          <w:szCs w:val="32"/>
          <w:lang w:eastAsia="zh-CN"/>
        </w:rPr>
        <w:t>核心素养导向的</w:t>
      </w:r>
      <w:r>
        <w:rPr>
          <w:rFonts w:hint="eastAsia"/>
          <w:sz w:val="32"/>
          <w:szCs w:val="32"/>
          <w:lang w:eastAsia="zh-CN"/>
        </w:rPr>
        <w:t>学科</w:t>
      </w:r>
      <w:r>
        <w:rPr>
          <w:sz w:val="32"/>
          <w:szCs w:val="32"/>
          <w:lang w:eastAsia="zh-CN"/>
        </w:rPr>
        <w:t>课堂教学评价标准与工具开发，结果评价、过程评价、增值评价、综合评价相结合的学业质量监测体系</w:t>
      </w:r>
      <w:r>
        <w:rPr>
          <w:rFonts w:hint="eastAsia"/>
          <w:sz w:val="32"/>
          <w:szCs w:val="32"/>
          <w:lang w:eastAsia="zh-CN"/>
        </w:rPr>
        <w:t>与学生学习评价体系构建</w:t>
      </w:r>
      <w:r>
        <w:rPr>
          <w:sz w:val="32"/>
          <w:szCs w:val="32"/>
          <w:lang w:eastAsia="zh-CN"/>
        </w:rPr>
        <w:t>。</w:t>
      </w:r>
    </w:p>
    <w:p w14:paraId="3E591E12">
      <w:pPr>
        <w:keepNext w:val="0"/>
        <w:keepLines w:val="0"/>
        <w:pageBreakBefore w:val="0"/>
        <w:kinsoku/>
        <w:wordWrap/>
        <w:overflowPunct/>
        <w:topLinePunct w:val="0"/>
        <w:autoSpaceDE/>
        <w:autoSpaceDN/>
        <w:bidi w:val="0"/>
        <w:adjustRightInd w:val="0"/>
        <w:snapToGrid w:val="0"/>
        <w:spacing w:after="0" w:line="348" w:lineRule="auto"/>
        <w:ind w:firstLine="643" w:firstLineChars="200"/>
        <w:textAlignment w:val="auto"/>
        <w:rPr>
          <w:rFonts w:hint="eastAsia"/>
          <w:sz w:val="32"/>
          <w:szCs w:val="32"/>
          <w:lang w:eastAsia="zh-CN"/>
        </w:rPr>
      </w:pPr>
      <w:r>
        <w:rPr>
          <w:rFonts w:ascii="Times New Roman" w:hAnsi="Times New Roman" w:cs="Times New Roman"/>
          <w:b/>
          <w:sz w:val="32"/>
          <w:szCs w:val="32"/>
          <w:lang w:eastAsia="zh-CN"/>
        </w:rPr>
        <w:t xml:space="preserve">5. </w:t>
      </w:r>
      <w:r>
        <w:rPr>
          <w:rFonts w:hint="eastAsia" w:ascii="Times New Roman" w:hAnsi="Times New Roman" w:cs="Times New Roman"/>
          <w:b/>
          <w:sz w:val="32"/>
          <w:szCs w:val="32"/>
          <w:lang w:eastAsia="zh-CN"/>
        </w:rPr>
        <w:t>中小学科学教育与创新人才早期培养评价</w:t>
      </w:r>
      <w:r>
        <w:rPr>
          <w:sz w:val="32"/>
          <w:szCs w:val="32"/>
          <w:lang w:eastAsia="zh-CN"/>
        </w:rPr>
        <w:t>：</w:t>
      </w:r>
      <w:r>
        <w:rPr>
          <w:rFonts w:hint="eastAsia"/>
          <w:sz w:val="32"/>
          <w:szCs w:val="32"/>
          <w:lang w:eastAsia="zh-CN"/>
        </w:rPr>
        <w:t>支撑</w:t>
      </w:r>
      <w:r>
        <w:rPr>
          <w:sz w:val="32"/>
          <w:szCs w:val="32"/>
          <w:lang w:eastAsia="zh-CN"/>
        </w:rPr>
        <w:t>义务教育</w:t>
      </w:r>
      <w:r>
        <w:rPr>
          <w:rFonts w:hint="eastAsia"/>
          <w:sz w:val="32"/>
          <w:szCs w:val="32"/>
          <w:lang w:eastAsia="zh-CN"/>
        </w:rPr>
        <w:t>阶段科学教育“</w:t>
      </w:r>
      <w:r>
        <w:rPr>
          <w:sz w:val="32"/>
          <w:szCs w:val="32"/>
          <w:lang w:eastAsia="zh-CN"/>
        </w:rPr>
        <w:t>做中学</w:t>
      </w:r>
      <w:r>
        <w:rPr>
          <w:rFonts w:hint="eastAsia"/>
          <w:sz w:val="32"/>
          <w:szCs w:val="32"/>
          <w:lang w:eastAsia="zh-CN"/>
        </w:rPr>
        <w:t>”</w:t>
      </w:r>
      <w:r>
        <w:rPr>
          <w:sz w:val="32"/>
          <w:szCs w:val="32"/>
          <w:lang w:eastAsia="zh-CN"/>
        </w:rPr>
        <w:t>领航行动</w:t>
      </w:r>
      <w:r>
        <w:rPr>
          <w:rFonts w:hint="eastAsia"/>
          <w:sz w:val="32"/>
          <w:szCs w:val="32"/>
          <w:lang w:eastAsia="zh-CN"/>
        </w:rPr>
        <w:t>实施的表现性</w:t>
      </w:r>
      <w:r>
        <w:rPr>
          <w:sz w:val="32"/>
          <w:szCs w:val="32"/>
          <w:lang w:eastAsia="zh-CN"/>
        </w:rPr>
        <w:t>评价体系</w:t>
      </w:r>
      <w:r>
        <w:rPr>
          <w:rFonts w:hint="eastAsia"/>
          <w:sz w:val="32"/>
          <w:szCs w:val="32"/>
          <w:lang w:eastAsia="zh-CN"/>
        </w:rPr>
        <w:t>构建，</w:t>
      </w:r>
      <w:r>
        <w:rPr>
          <w:sz w:val="32"/>
          <w:szCs w:val="32"/>
          <w:lang w:eastAsia="zh-CN"/>
        </w:rPr>
        <w:t>中小学生科学素养发展评价与科学课程教学质量评价</w:t>
      </w:r>
      <w:r>
        <w:rPr>
          <w:rFonts w:hint="eastAsia"/>
          <w:sz w:val="32"/>
          <w:szCs w:val="32"/>
          <w:lang w:eastAsia="zh-CN"/>
        </w:rPr>
        <w:t>，</w:t>
      </w:r>
      <w:r>
        <w:rPr>
          <w:sz w:val="32"/>
          <w:szCs w:val="32"/>
          <w:lang w:eastAsia="zh-CN"/>
        </w:rPr>
        <w:t>中小学科学教育实验区、实验校建设成效评价，科技高中建设质量评价机制，科技创新后备人才早期发现与跟踪培养评价体系创新实践。</w:t>
      </w:r>
    </w:p>
    <w:p w14:paraId="7BE36377">
      <w:pPr>
        <w:keepNext w:val="0"/>
        <w:keepLines w:val="0"/>
        <w:pageBreakBefore w:val="0"/>
        <w:kinsoku/>
        <w:wordWrap/>
        <w:overflowPunct/>
        <w:topLinePunct w:val="0"/>
        <w:autoSpaceDE/>
        <w:autoSpaceDN/>
        <w:bidi w:val="0"/>
        <w:adjustRightInd w:val="0"/>
        <w:snapToGrid w:val="0"/>
        <w:spacing w:after="0" w:line="348" w:lineRule="auto"/>
        <w:ind w:firstLine="643" w:firstLineChars="200"/>
        <w:textAlignment w:val="auto"/>
        <w:rPr>
          <w:rFonts w:hint="eastAsia"/>
          <w:sz w:val="32"/>
          <w:szCs w:val="32"/>
          <w:lang w:eastAsia="zh-CN"/>
        </w:rPr>
      </w:pPr>
      <w:r>
        <w:rPr>
          <w:rFonts w:ascii="Times New Roman" w:hAnsi="Times New Roman" w:cs="Times New Roman"/>
          <w:b/>
          <w:sz w:val="32"/>
          <w:szCs w:val="32"/>
          <w:lang w:eastAsia="zh-CN"/>
        </w:rPr>
        <w:t xml:space="preserve">6. </w:t>
      </w:r>
      <w:r>
        <w:rPr>
          <w:rFonts w:hint="eastAsia" w:ascii="Times New Roman" w:hAnsi="Times New Roman" w:cs="Times New Roman"/>
          <w:b/>
          <w:sz w:val="32"/>
          <w:szCs w:val="32"/>
          <w:lang w:eastAsia="zh-CN"/>
        </w:rPr>
        <w:t>中小学</w:t>
      </w:r>
      <w:r>
        <w:rPr>
          <w:b/>
          <w:sz w:val="32"/>
          <w:szCs w:val="32"/>
          <w:lang w:eastAsia="zh-CN"/>
        </w:rPr>
        <w:t>教师评价与教育家精神培育：</w:t>
      </w:r>
      <w:r>
        <w:rPr>
          <w:sz w:val="32"/>
          <w:szCs w:val="32"/>
          <w:lang w:eastAsia="zh-CN"/>
        </w:rPr>
        <w:t>中小学教师分类评价</w:t>
      </w:r>
      <w:r>
        <w:rPr>
          <w:rFonts w:hint="eastAsia"/>
          <w:sz w:val="32"/>
          <w:szCs w:val="32"/>
          <w:lang w:eastAsia="zh-CN"/>
        </w:rPr>
        <w:t>与</w:t>
      </w:r>
      <w:r>
        <w:rPr>
          <w:sz w:val="32"/>
          <w:szCs w:val="32"/>
          <w:lang w:eastAsia="zh-CN"/>
        </w:rPr>
        <w:t>教学述评制度</w:t>
      </w:r>
      <w:r>
        <w:rPr>
          <w:rFonts w:hint="eastAsia"/>
          <w:sz w:val="32"/>
          <w:szCs w:val="32"/>
          <w:lang w:eastAsia="zh-CN"/>
        </w:rPr>
        <w:t>探索，</w:t>
      </w:r>
      <w:r>
        <w:rPr>
          <w:sz w:val="32"/>
          <w:szCs w:val="32"/>
          <w:lang w:eastAsia="zh-CN"/>
        </w:rPr>
        <w:t>校长职级制评价改革</w:t>
      </w:r>
      <w:r>
        <w:rPr>
          <w:rFonts w:hint="eastAsia"/>
          <w:sz w:val="32"/>
          <w:szCs w:val="32"/>
          <w:lang w:eastAsia="zh-CN"/>
        </w:rPr>
        <w:t>，</w:t>
      </w:r>
      <w:r>
        <w:rPr>
          <w:sz w:val="32"/>
          <w:szCs w:val="32"/>
          <w:lang w:eastAsia="zh-CN"/>
        </w:rPr>
        <w:t>教师专业发展增值评价</w:t>
      </w:r>
      <w:r>
        <w:rPr>
          <w:rFonts w:hint="eastAsia"/>
          <w:sz w:val="32"/>
          <w:szCs w:val="32"/>
          <w:lang w:eastAsia="zh-CN"/>
        </w:rPr>
        <w:t>，</w:t>
      </w:r>
      <w:r>
        <w:rPr>
          <w:sz w:val="32"/>
          <w:szCs w:val="32"/>
          <w:lang w:eastAsia="zh-CN"/>
        </w:rPr>
        <w:t>师德师风建设</w:t>
      </w:r>
      <w:r>
        <w:rPr>
          <w:rFonts w:hint="eastAsia"/>
          <w:sz w:val="32"/>
          <w:szCs w:val="32"/>
          <w:lang w:eastAsia="zh-CN"/>
        </w:rPr>
        <w:t>与教育家精神</w:t>
      </w:r>
      <w:r>
        <w:rPr>
          <w:sz w:val="32"/>
          <w:szCs w:val="32"/>
          <w:lang w:eastAsia="zh-CN"/>
        </w:rPr>
        <w:t>培育长效机制评价。</w:t>
      </w:r>
    </w:p>
    <w:p w14:paraId="5D6BBEA5">
      <w:pPr>
        <w:keepNext w:val="0"/>
        <w:keepLines w:val="0"/>
        <w:pageBreakBefore w:val="0"/>
        <w:kinsoku/>
        <w:wordWrap/>
        <w:overflowPunct/>
        <w:topLinePunct w:val="0"/>
        <w:autoSpaceDE/>
        <w:autoSpaceDN/>
        <w:bidi w:val="0"/>
        <w:adjustRightInd w:val="0"/>
        <w:snapToGrid w:val="0"/>
        <w:spacing w:after="0" w:line="348" w:lineRule="auto"/>
        <w:ind w:firstLine="643" w:firstLineChars="200"/>
        <w:textAlignment w:val="auto"/>
        <w:rPr>
          <w:rFonts w:hint="eastAsia"/>
          <w:sz w:val="32"/>
          <w:szCs w:val="32"/>
          <w:lang w:eastAsia="zh-CN"/>
        </w:rPr>
      </w:pPr>
      <w:r>
        <w:rPr>
          <w:rFonts w:ascii="Times New Roman" w:hAnsi="Times New Roman" w:cs="Times New Roman"/>
          <w:b/>
          <w:sz w:val="32"/>
          <w:szCs w:val="32"/>
          <w:lang w:eastAsia="zh-CN"/>
        </w:rPr>
        <w:t xml:space="preserve">7. </w:t>
      </w:r>
      <w:r>
        <w:rPr>
          <w:b/>
          <w:sz w:val="32"/>
          <w:szCs w:val="32"/>
          <w:lang w:eastAsia="zh-CN"/>
        </w:rPr>
        <w:t>大中小学思政课一体化评价实践：</w:t>
      </w:r>
      <w:r>
        <w:rPr>
          <w:sz w:val="32"/>
          <w:szCs w:val="32"/>
          <w:lang w:eastAsia="zh-CN"/>
        </w:rPr>
        <w:t>思政课教学质量评价，大中小学思政课一体化衔接与协同育人机制评价，铸牢中华民族共同体意识教育评价。</w:t>
      </w:r>
    </w:p>
    <w:p w14:paraId="097DA7DF">
      <w:pPr>
        <w:keepNext w:val="0"/>
        <w:keepLines w:val="0"/>
        <w:pageBreakBefore w:val="0"/>
        <w:kinsoku/>
        <w:wordWrap/>
        <w:overflowPunct/>
        <w:topLinePunct w:val="0"/>
        <w:autoSpaceDE/>
        <w:autoSpaceDN/>
        <w:bidi w:val="0"/>
        <w:adjustRightInd w:val="0"/>
        <w:snapToGrid w:val="0"/>
        <w:spacing w:after="0" w:line="348" w:lineRule="auto"/>
        <w:ind w:firstLine="643" w:firstLineChars="200"/>
        <w:textAlignment w:val="auto"/>
        <w:rPr>
          <w:rFonts w:hint="eastAsia"/>
          <w:sz w:val="32"/>
          <w:szCs w:val="32"/>
          <w:lang w:eastAsia="zh-CN"/>
        </w:rPr>
      </w:pPr>
      <w:r>
        <w:rPr>
          <w:rFonts w:ascii="Times New Roman" w:hAnsi="Times New Roman" w:cs="Times New Roman"/>
          <w:b/>
          <w:sz w:val="32"/>
          <w:szCs w:val="32"/>
          <w:lang w:eastAsia="zh-CN"/>
        </w:rPr>
        <w:t>8. 家校社协同育人“教联体”建设评价</w:t>
      </w:r>
      <w:bookmarkStart w:id="0" w:name="OLE_LINK1"/>
      <w:bookmarkEnd w:id="0"/>
      <w:r>
        <w:rPr>
          <w:sz w:val="32"/>
          <w:szCs w:val="32"/>
          <w:lang w:eastAsia="zh-CN"/>
        </w:rPr>
        <w:t>：</w:t>
      </w:r>
      <w:r>
        <w:rPr>
          <w:rFonts w:hint="eastAsia"/>
          <w:sz w:val="32"/>
          <w:szCs w:val="32"/>
          <w:lang w:eastAsia="zh-CN"/>
        </w:rPr>
        <w:t>“教联体”</w:t>
      </w:r>
      <w:r>
        <w:rPr>
          <w:sz w:val="32"/>
          <w:szCs w:val="32"/>
          <w:lang w:eastAsia="zh-CN"/>
        </w:rPr>
        <w:t>协同育人机制的指标</w:t>
      </w:r>
      <w:r>
        <w:rPr>
          <w:rFonts w:hint="eastAsia"/>
          <w:sz w:val="32"/>
          <w:szCs w:val="32"/>
          <w:lang w:eastAsia="zh-CN"/>
        </w:rPr>
        <w:t>体系</w:t>
      </w:r>
      <w:r>
        <w:rPr>
          <w:sz w:val="32"/>
          <w:szCs w:val="32"/>
          <w:lang w:eastAsia="zh-CN"/>
        </w:rPr>
        <w:t>构建</w:t>
      </w:r>
      <w:r>
        <w:rPr>
          <w:rFonts w:hint="eastAsia"/>
          <w:sz w:val="32"/>
          <w:szCs w:val="32"/>
          <w:lang w:eastAsia="zh-CN"/>
        </w:rPr>
        <w:t>，建设</w:t>
      </w:r>
      <w:r>
        <w:rPr>
          <w:sz w:val="32"/>
          <w:szCs w:val="32"/>
          <w:lang w:eastAsia="zh-CN"/>
        </w:rPr>
        <w:t>成效监测与反馈改进</w:t>
      </w:r>
      <w:r>
        <w:rPr>
          <w:rFonts w:hint="eastAsia"/>
          <w:sz w:val="32"/>
          <w:szCs w:val="32"/>
          <w:lang w:eastAsia="zh-CN"/>
        </w:rPr>
        <w:t>机制</w:t>
      </w:r>
      <w:r>
        <w:rPr>
          <w:sz w:val="32"/>
          <w:szCs w:val="32"/>
          <w:lang w:eastAsia="zh-CN"/>
        </w:rPr>
        <w:t>。</w:t>
      </w:r>
    </w:p>
    <w:p w14:paraId="349DC704">
      <w:pPr>
        <w:keepNext w:val="0"/>
        <w:keepLines w:val="0"/>
        <w:pageBreakBefore w:val="0"/>
        <w:kinsoku/>
        <w:wordWrap/>
        <w:overflowPunct/>
        <w:topLinePunct w:val="0"/>
        <w:autoSpaceDE/>
        <w:autoSpaceDN/>
        <w:bidi w:val="0"/>
        <w:adjustRightInd w:val="0"/>
        <w:snapToGrid w:val="0"/>
        <w:spacing w:after="0" w:line="348" w:lineRule="auto"/>
        <w:ind w:firstLine="643" w:firstLineChars="200"/>
        <w:textAlignment w:val="auto"/>
        <w:rPr>
          <w:rFonts w:hint="eastAsia"/>
          <w:sz w:val="32"/>
          <w:szCs w:val="32"/>
          <w:lang w:eastAsia="zh-CN"/>
        </w:rPr>
      </w:pPr>
      <w:r>
        <w:rPr>
          <w:rFonts w:ascii="Times New Roman" w:hAnsi="Times New Roman" w:cs="Times New Roman"/>
          <w:b/>
          <w:sz w:val="32"/>
          <w:szCs w:val="32"/>
          <w:lang w:eastAsia="zh-CN"/>
        </w:rPr>
        <w:t xml:space="preserve">9. </w:t>
      </w:r>
      <w:r>
        <w:rPr>
          <w:b/>
          <w:sz w:val="32"/>
          <w:szCs w:val="32"/>
          <w:lang w:eastAsia="zh-CN"/>
        </w:rPr>
        <w:t>健康学校建设与学生身心健康评价：</w:t>
      </w:r>
      <w:r>
        <w:rPr>
          <w:rFonts w:hint="eastAsia"/>
          <w:sz w:val="32"/>
          <w:szCs w:val="32"/>
          <w:lang w:eastAsia="zh-CN"/>
        </w:rPr>
        <w:t>“健康第一”教育理念落实的评价机制，健康学校建设评价标准，</w:t>
      </w:r>
      <w:r>
        <w:rPr>
          <w:sz w:val="32"/>
          <w:szCs w:val="32"/>
          <w:lang w:eastAsia="zh-CN"/>
        </w:rPr>
        <w:t>学生体质健康监测评价</w:t>
      </w:r>
      <w:r>
        <w:rPr>
          <w:rFonts w:hint="eastAsia"/>
          <w:sz w:val="32"/>
          <w:szCs w:val="32"/>
          <w:lang w:eastAsia="zh-CN"/>
        </w:rPr>
        <w:t>，</w:t>
      </w:r>
      <w:r>
        <w:rPr>
          <w:sz w:val="32"/>
          <w:szCs w:val="32"/>
          <w:lang w:eastAsia="zh-CN"/>
        </w:rPr>
        <w:t>心理健康教育</w:t>
      </w:r>
      <w:r>
        <w:rPr>
          <w:rFonts w:hint="eastAsia"/>
          <w:sz w:val="32"/>
          <w:szCs w:val="32"/>
          <w:lang w:eastAsia="zh-CN"/>
        </w:rPr>
        <w:t>、生命安全教育</w:t>
      </w:r>
      <w:r>
        <w:rPr>
          <w:sz w:val="32"/>
          <w:szCs w:val="32"/>
          <w:lang w:eastAsia="zh-CN"/>
        </w:rPr>
        <w:t>效果评估</w:t>
      </w:r>
      <w:r>
        <w:rPr>
          <w:rFonts w:hint="eastAsia"/>
          <w:sz w:val="32"/>
          <w:szCs w:val="32"/>
          <w:lang w:eastAsia="zh-CN"/>
        </w:rPr>
        <w:t>，</w:t>
      </w:r>
      <w:r>
        <w:rPr>
          <w:sz w:val="32"/>
          <w:szCs w:val="32"/>
          <w:lang w:eastAsia="zh-CN"/>
        </w:rPr>
        <w:t>近视防控与营养健康评价。</w:t>
      </w:r>
    </w:p>
    <w:p w14:paraId="23E8B65A">
      <w:pPr>
        <w:keepNext w:val="0"/>
        <w:keepLines w:val="0"/>
        <w:pageBreakBefore w:val="0"/>
        <w:widowControl w:val="0"/>
        <w:kinsoku/>
        <w:wordWrap/>
        <w:overflowPunct/>
        <w:topLinePunct w:val="0"/>
        <w:autoSpaceDE/>
        <w:autoSpaceDN/>
        <w:bidi w:val="0"/>
        <w:adjustRightInd w:val="0"/>
        <w:snapToGrid w:val="0"/>
        <w:spacing w:after="0" w:line="348" w:lineRule="auto"/>
        <w:ind w:firstLine="643" w:firstLineChars="200"/>
        <w:textAlignment w:val="auto"/>
        <w:rPr>
          <w:rFonts w:hint="eastAsia"/>
          <w:sz w:val="32"/>
          <w:szCs w:val="32"/>
          <w:lang w:eastAsia="zh-CN"/>
        </w:rPr>
      </w:pPr>
      <w:r>
        <w:rPr>
          <w:rFonts w:ascii="Times New Roman" w:hAnsi="Times New Roman" w:cs="Times New Roman"/>
          <w:b/>
          <w:sz w:val="32"/>
          <w:szCs w:val="32"/>
          <w:lang w:eastAsia="zh-CN"/>
        </w:rPr>
        <w:t>10.</w:t>
      </w:r>
      <w:r>
        <w:rPr>
          <w:b/>
          <w:bCs/>
          <w:sz w:val="32"/>
          <w:szCs w:val="32"/>
          <w:lang w:eastAsia="zh-CN"/>
        </w:rPr>
        <w:t>适应人口变化的基础教育资源配置评价</w:t>
      </w:r>
      <w:r>
        <w:rPr>
          <w:sz w:val="32"/>
          <w:szCs w:val="32"/>
          <w:lang w:eastAsia="zh-CN"/>
        </w:rPr>
        <w:t>：学龄人口动态监测与</w:t>
      </w:r>
      <w:r>
        <w:rPr>
          <w:rFonts w:hint="eastAsia"/>
          <w:sz w:val="32"/>
          <w:szCs w:val="32"/>
          <w:lang w:eastAsia="zh-CN"/>
        </w:rPr>
        <w:t>基础</w:t>
      </w:r>
      <w:r>
        <w:rPr>
          <w:sz w:val="32"/>
          <w:szCs w:val="32"/>
          <w:lang w:eastAsia="zh-CN"/>
        </w:rPr>
        <w:t>教育资源</w:t>
      </w:r>
      <w:r>
        <w:rPr>
          <w:rFonts w:hint="eastAsia"/>
          <w:sz w:val="32"/>
          <w:szCs w:val="32"/>
          <w:lang w:eastAsia="zh-CN"/>
        </w:rPr>
        <w:t>前瞻规划、</w:t>
      </w:r>
      <w:r>
        <w:rPr>
          <w:sz w:val="32"/>
          <w:szCs w:val="32"/>
          <w:lang w:eastAsia="zh-CN"/>
        </w:rPr>
        <w:t>弹性调配机制</w:t>
      </w:r>
      <w:r>
        <w:rPr>
          <w:rFonts w:hint="eastAsia"/>
          <w:sz w:val="32"/>
          <w:szCs w:val="32"/>
          <w:lang w:eastAsia="zh-CN"/>
        </w:rPr>
        <w:t>评价，</w:t>
      </w:r>
      <w:r>
        <w:rPr>
          <w:sz w:val="32"/>
          <w:szCs w:val="32"/>
          <w:lang w:eastAsia="zh-CN"/>
        </w:rPr>
        <w:t>小班化教学改革评价</w:t>
      </w:r>
      <w:r>
        <w:rPr>
          <w:rFonts w:hint="eastAsia"/>
          <w:sz w:val="32"/>
          <w:szCs w:val="32"/>
          <w:lang w:eastAsia="zh-CN"/>
        </w:rPr>
        <w:t>，</w:t>
      </w:r>
      <w:r>
        <w:rPr>
          <w:sz w:val="32"/>
          <w:szCs w:val="32"/>
          <w:lang w:eastAsia="zh-CN"/>
        </w:rPr>
        <w:t>县域普通高中发展振兴评价。</w:t>
      </w:r>
    </w:p>
    <w:p w14:paraId="31A862A1">
      <w:pPr>
        <w:keepNext w:val="0"/>
        <w:keepLines w:val="0"/>
        <w:pageBreakBefore w:val="0"/>
        <w:kinsoku/>
        <w:wordWrap/>
        <w:overflowPunct/>
        <w:topLinePunct w:val="0"/>
        <w:autoSpaceDE/>
        <w:autoSpaceDN/>
        <w:bidi w:val="0"/>
        <w:adjustRightInd w:val="0"/>
        <w:snapToGrid w:val="0"/>
        <w:spacing w:after="0" w:line="348" w:lineRule="auto"/>
        <w:ind w:firstLine="643" w:firstLineChars="200"/>
        <w:textAlignment w:val="auto"/>
        <w:rPr>
          <w:rFonts w:hint="eastAsia"/>
          <w:sz w:val="32"/>
          <w:szCs w:val="32"/>
          <w:lang w:eastAsia="zh-CN"/>
        </w:rPr>
      </w:pPr>
      <w:r>
        <w:rPr>
          <w:rFonts w:ascii="Times New Roman" w:hAnsi="Times New Roman" w:cs="Times New Roman"/>
          <w:b/>
          <w:sz w:val="32"/>
          <w:szCs w:val="32"/>
          <w:lang w:eastAsia="zh-CN"/>
        </w:rPr>
        <w:t xml:space="preserve">11. </w:t>
      </w:r>
      <w:r>
        <w:rPr>
          <w:rFonts w:hint="eastAsia" w:ascii="Times New Roman" w:hAnsi="Times New Roman" w:cs="Times New Roman"/>
          <w:b/>
          <w:sz w:val="32"/>
          <w:szCs w:val="32"/>
          <w:lang w:eastAsia="zh-CN"/>
        </w:rPr>
        <w:t>学前教育、</w:t>
      </w:r>
      <w:r>
        <w:rPr>
          <w:b/>
          <w:sz w:val="32"/>
          <w:szCs w:val="32"/>
          <w:lang w:eastAsia="zh-CN"/>
        </w:rPr>
        <w:t>专门教育与特殊教育评价保障机制：</w:t>
      </w:r>
      <w:r>
        <w:rPr>
          <w:sz w:val="32"/>
          <w:szCs w:val="32"/>
          <w:lang w:eastAsia="zh-CN"/>
        </w:rPr>
        <w:t>县域学前教育普及普惠督导评估与保障机制构建，专门教育办学质量评价，特殊教育适宜融合发展成效评价。</w:t>
      </w:r>
    </w:p>
    <w:p w14:paraId="23DC7C5A">
      <w:pPr>
        <w:keepNext w:val="0"/>
        <w:keepLines w:val="0"/>
        <w:pageBreakBefore w:val="0"/>
        <w:widowControl w:val="0"/>
        <w:kinsoku/>
        <w:wordWrap/>
        <w:overflowPunct/>
        <w:topLinePunct w:val="0"/>
        <w:autoSpaceDE/>
        <w:autoSpaceDN/>
        <w:bidi w:val="0"/>
        <w:adjustRightInd w:val="0"/>
        <w:snapToGrid w:val="0"/>
        <w:spacing w:after="0" w:line="348" w:lineRule="auto"/>
        <w:ind w:firstLine="643" w:firstLineChars="200"/>
        <w:textAlignment w:val="auto"/>
        <w:rPr>
          <w:rFonts w:hint="eastAsia"/>
          <w:sz w:val="32"/>
          <w:szCs w:val="32"/>
          <w:lang w:eastAsia="zh-CN"/>
        </w:rPr>
      </w:pPr>
      <w:r>
        <w:rPr>
          <w:rFonts w:ascii="Times New Roman" w:hAnsi="Times New Roman" w:cs="Times New Roman"/>
          <w:b/>
          <w:sz w:val="32"/>
          <w:szCs w:val="32"/>
          <w:lang w:eastAsia="zh-CN"/>
        </w:rPr>
        <w:t>12. 中小学美育与劳动教育评价改革</w:t>
      </w:r>
      <w:r>
        <w:rPr>
          <w:sz w:val="32"/>
          <w:szCs w:val="32"/>
          <w:lang w:eastAsia="zh-CN"/>
        </w:rPr>
        <w:t>：学科美育评价</w:t>
      </w:r>
      <w:r>
        <w:rPr>
          <w:rFonts w:hint="eastAsia"/>
          <w:sz w:val="32"/>
          <w:szCs w:val="32"/>
          <w:lang w:eastAsia="zh-CN"/>
        </w:rPr>
        <w:t>实践，</w:t>
      </w:r>
      <w:r>
        <w:rPr>
          <w:sz w:val="32"/>
          <w:szCs w:val="32"/>
          <w:lang w:eastAsia="zh-CN"/>
        </w:rPr>
        <w:t>劳动教育过程性评价与实践成果认证。</w:t>
      </w:r>
    </w:p>
    <w:p w14:paraId="5C9B5592">
      <w:pPr>
        <w:keepNext w:val="0"/>
        <w:keepLines w:val="0"/>
        <w:pageBreakBefore w:val="0"/>
        <w:kinsoku/>
        <w:wordWrap/>
        <w:overflowPunct/>
        <w:topLinePunct w:val="0"/>
        <w:autoSpaceDE/>
        <w:autoSpaceDN/>
        <w:bidi w:val="0"/>
        <w:adjustRightInd w:val="0"/>
        <w:snapToGrid w:val="0"/>
        <w:spacing w:after="0" w:line="348" w:lineRule="auto"/>
        <w:ind w:firstLine="643" w:firstLineChars="200"/>
        <w:textAlignment w:val="auto"/>
        <w:rPr>
          <w:rFonts w:hint="eastAsia"/>
          <w:sz w:val="32"/>
          <w:szCs w:val="32"/>
          <w:lang w:eastAsia="zh-CN"/>
        </w:rPr>
      </w:pPr>
      <w:r>
        <w:rPr>
          <w:rFonts w:ascii="Times New Roman" w:hAnsi="Times New Roman" w:cs="Times New Roman"/>
          <w:b/>
          <w:sz w:val="32"/>
          <w:szCs w:val="32"/>
          <w:lang w:eastAsia="zh-CN"/>
        </w:rPr>
        <w:t xml:space="preserve">13. </w:t>
      </w:r>
      <w:r>
        <w:rPr>
          <w:b/>
          <w:sz w:val="32"/>
          <w:szCs w:val="32"/>
          <w:lang w:eastAsia="zh-CN"/>
        </w:rPr>
        <w:t>“双减”背景下校外培训治理与作业评价改革：</w:t>
      </w:r>
      <w:r>
        <w:rPr>
          <w:sz w:val="32"/>
          <w:szCs w:val="32"/>
          <w:lang w:eastAsia="zh-CN"/>
        </w:rPr>
        <w:t>校外培训规范管理评价</w:t>
      </w:r>
      <w:r>
        <w:rPr>
          <w:rFonts w:hint="eastAsia"/>
          <w:sz w:val="32"/>
          <w:szCs w:val="32"/>
          <w:lang w:eastAsia="zh-CN"/>
        </w:rPr>
        <w:t>，</w:t>
      </w:r>
      <w:r>
        <w:rPr>
          <w:sz w:val="32"/>
          <w:szCs w:val="32"/>
          <w:lang w:eastAsia="zh-CN"/>
        </w:rPr>
        <w:t>作业设计与减负增效评价机制</w:t>
      </w:r>
      <w:r>
        <w:rPr>
          <w:rFonts w:hint="eastAsia"/>
          <w:sz w:val="32"/>
          <w:szCs w:val="32"/>
          <w:lang w:eastAsia="zh-CN"/>
        </w:rPr>
        <w:t>，</w:t>
      </w:r>
      <w:r>
        <w:rPr>
          <w:sz w:val="32"/>
          <w:szCs w:val="32"/>
          <w:lang w:eastAsia="zh-CN"/>
        </w:rPr>
        <w:t>学校规范办学行为实施成效</w:t>
      </w:r>
      <w:r>
        <w:rPr>
          <w:rFonts w:hint="eastAsia"/>
          <w:sz w:val="32"/>
          <w:szCs w:val="32"/>
          <w:lang w:eastAsia="zh-CN"/>
        </w:rPr>
        <w:t>评价</w:t>
      </w:r>
      <w:r>
        <w:rPr>
          <w:sz w:val="32"/>
          <w:szCs w:val="32"/>
          <w:lang w:eastAsia="zh-CN"/>
        </w:rPr>
        <w:t>。</w:t>
      </w:r>
    </w:p>
    <w:p w14:paraId="4E2EA9D0">
      <w:pPr>
        <w:keepNext w:val="0"/>
        <w:keepLines w:val="0"/>
        <w:pageBreakBefore w:val="0"/>
        <w:kinsoku/>
        <w:wordWrap/>
        <w:overflowPunct/>
        <w:topLinePunct w:val="0"/>
        <w:autoSpaceDE/>
        <w:autoSpaceDN/>
        <w:bidi w:val="0"/>
        <w:adjustRightInd w:val="0"/>
        <w:snapToGrid w:val="0"/>
        <w:spacing w:after="0" w:line="348" w:lineRule="auto"/>
        <w:ind w:firstLine="643" w:firstLineChars="200"/>
        <w:textAlignment w:val="auto"/>
        <w:rPr>
          <w:rFonts w:hint="eastAsia"/>
          <w:sz w:val="32"/>
          <w:szCs w:val="32"/>
          <w:lang w:eastAsia="zh-CN"/>
        </w:rPr>
      </w:pPr>
      <w:r>
        <w:rPr>
          <w:rFonts w:ascii="Times New Roman" w:hAnsi="Times New Roman" w:cs="Times New Roman"/>
          <w:b/>
          <w:sz w:val="32"/>
          <w:szCs w:val="32"/>
          <w:lang w:eastAsia="zh-CN"/>
        </w:rPr>
        <w:t xml:space="preserve">14. </w:t>
      </w:r>
      <w:r>
        <w:rPr>
          <w:b/>
          <w:sz w:val="32"/>
          <w:szCs w:val="32"/>
          <w:lang w:eastAsia="zh-CN"/>
        </w:rPr>
        <w:t>县域义务教育优质均衡发展评价：</w:t>
      </w:r>
      <w:r>
        <w:rPr>
          <w:sz w:val="32"/>
          <w:szCs w:val="32"/>
          <w:lang w:eastAsia="zh-CN"/>
        </w:rPr>
        <w:t>优质均衡督导评估的县域实践与结果运用，城乡义务教育一体化评估，集团化办学、学区制改革促进优质均衡的成效评价。</w:t>
      </w:r>
    </w:p>
    <w:p w14:paraId="6F35805A">
      <w:pPr>
        <w:keepNext w:val="0"/>
        <w:keepLines w:val="0"/>
        <w:pageBreakBefore w:val="0"/>
        <w:widowControl/>
        <w:kinsoku/>
        <w:wordWrap/>
        <w:overflowPunct/>
        <w:topLinePunct w:val="0"/>
        <w:autoSpaceDE/>
        <w:autoSpaceDN/>
        <w:bidi w:val="0"/>
        <w:adjustRightInd w:val="0"/>
        <w:snapToGrid w:val="0"/>
        <w:spacing w:before="181" w:beforeLines="50" w:after="181" w:afterLines="50" w:line="348" w:lineRule="auto"/>
        <w:ind w:firstLine="640" w:firstLineChars="200"/>
        <w:textAlignment w:val="auto"/>
        <w:rPr>
          <w:rFonts w:hint="eastAsia"/>
          <w:bCs/>
          <w:sz w:val="32"/>
          <w:szCs w:val="32"/>
          <w:lang w:eastAsia="zh-CN"/>
        </w:rPr>
      </w:pPr>
      <w:r>
        <w:rPr>
          <w:rFonts w:ascii="黑体" w:hAnsi="黑体" w:eastAsia="黑体"/>
          <w:bCs/>
          <w:sz w:val="32"/>
          <w:szCs w:val="32"/>
          <w:lang w:eastAsia="zh-CN"/>
        </w:rPr>
        <w:t>二</w:t>
      </w:r>
      <w:r>
        <w:rPr>
          <w:rFonts w:hint="eastAsia" w:ascii="黑体" w:hAnsi="黑体" w:eastAsia="黑体"/>
          <w:bCs/>
          <w:sz w:val="32"/>
          <w:szCs w:val="32"/>
          <w:lang w:eastAsia="zh-CN"/>
        </w:rPr>
        <w:t>、</w:t>
      </w:r>
      <w:r>
        <w:rPr>
          <w:rFonts w:ascii="黑体" w:hAnsi="黑体" w:eastAsia="黑体"/>
          <w:bCs/>
          <w:sz w:val="32"/>
          <w:szCs w:val="32"/>
          <w:lang w:eastAsia="zh-CN"/>
        </w:rPr>
        <w:t>高等教育评价改革</w:t>
      </w:r>
    </w:p>
    <w:p w14:paraId="7289FD32">
      <w:pPr>
        <w:keepNext w:val="0"/>
        <w:keepLines w:val="0"/>
        <w:pageBreakBefore w:val="0"/>
        <w:kinsoku/>
        <w:wordWrap/>
        <w:overflowPunct/>
        <w:topLinePunct w:val="0"/>
        <w:autoSpaceDE/>
        <w:autoSpaceDN/>
        <w:bidi w:val="0"/>
        <w:adjustRightInd w:val="0"/>
        <w:snapToGrid w:val="0"/>
        <w:spacing w:after="0" w:line="348" w:lineRule="auto"/>
        <w:ind w:firstLine="640" w:firstLineChars="200"/>
        <w:textAlignment w:val="auto"/>
        <w:rPr>
          <w:rFonts w:hint="eastAsia"/>
          <w:sz w:val="32"/>
          <w:szCs w:val="32"/>
          <w:lang w:eastAsia="zh-CN"/>
        </w:rPr>
      </w:pPr>
      <w:r>
        <w:rPr>
          <w:sz w:val="32"/>
          <w:szCs w:val="32"/>
          <w:lang w:eastAsia="zh-CN"/>
        </w:rPr>
        <w:t>围绕“双一流”建设、</w:t>
      </w:r>
      <w:r>
        <w:rPr>
          <w:rFonts w:hint="eastAsia"/>
          <w:sz w:val="32"/>
          <w:szCs w:val="32"/>
          <w:lang w:eastAsia="zh-CN"/>
        </w:rPr>
        <w:t>高校</w:t>
      </w:r>
      <w:r>
        <w:rPr>
          <w:sz w:val="32"/>
          <w:szCs w:val="32"/>
          <w:lang w:eastAsia="zh-CN"/>
        </w:rPr>
        <w:t>分类发展、拔尖创新人才培养和高校治理现代化，聚焦高校评价改革的核心议题，推动高等教育内涵式发展。</w:t>
      </w:r>
    </w:p>
    <w:p w14:paraId="32C354C9">
      <w:pPr>
        <w:keepNext w:val="0"/>
        <w:keepLines w:val="0"/>
        <w:pageBreakBefore w:val="0"/>
        <w:kinsoku/>
        <w:wordWrap/>
        <w:overflowPunct/>
        <w:topLinePunct w:val="0"/>
        <w:autoSpaceDE/>
        <w:autoSpaceDN/>
        <w:bidi w:val="0"/>
        <w:adjustRightInd w:val="0"/>
        <w:snapToGrid w:val="0"/>
        <w:spacing w:after="0" w:line="348" w:lineRule="auto"/>
        <w:ind w:firstLine="643" w:firstLineChars="200"/>
        <w:textAlignment w:val="auto"/>
        <w:rPr>
          <w:rFonts w:hint="eastAsia"/>
          <w:sz w:val="32"/>
          <w:szCs w:val="32"/>
          <w:lang w:eastAsia="zh-CN"/>
        </w:rPr>
      </w:pPr>
      <w:r>
        <w:rPr>
          <w:rFonts w:ascii="Times New Roman" w:hAnsi="Times New Roman" w:cs="Times New Roman"/>
          <w:b/>
          <w:sz w:val="32"/>
          <w:szCs w:val="32"/>
          <w:lang w:eastAsia="zh-CN"/>
        </w:rPr>
        <w:t xml:space="preserve">1. </w:t>
      </w:r>
      <w:r>
        <w:rPr>
          <w:b/>
          <w:sz w:val="32"/>
          <w:szCs w:val="32"/>
          <w:lang w:eastAsia="zh-CN"/>
        </w:rPr>
        <w:t>“双一流”建设以质量、特色、贡献为导向的监测评价与动态调整机制：</w:t>
      </w:r>
      <w:r>
        <w:rPr>
          <w:sz w:val="32"/>
          <w:szCs w:val="32"/>
          <w:lang w:eastAsia="zh-CN"/>
        </w:rPr>
        <w:t>“双一流”建设成效</w:t>
      </w:r>
      <w:r>
        <w:rPr>
          <w:rFonts w:hint="eastAsia"/>
          <w:sz w:val="32"/>
          <w:szCs w:val="32"/>
          <w:lang w:eastAsia="zh-CN"/>
        </w:rPr>
        <w:t>分类</w:t>
      </w:r>
      <w:r>
        <w:rPr>
          <w:sz w:val="32"/>
          <w:szCs w:val="32"/>
          <w:lang w:eastAsia="zh-CN"/>
        </w:rPr>
        <w:t>评价体系构建</w:t>
      </w:r>
      <w:r>
        <w:rPr>
          <w:rFonts w:hint="eastAsia"/>
          <w:sz w:val="32"/>
          <w:szCs w:val="32"/>
          <w:lang w:eastAsia="zh-CN"/>
        </w:rPr>
        <w:t>与动态调整机制，</w:t>
      </w:r>
      <w:r>
        <w:rPr>
          <w:sz w:val="32"/>
          <w:szCs w:val="32"/>
          <w:lang w:eastAsia="zh-CN"/>
        </w:rPr>
        <w:t>学科建设水平动态监测</w:t>
      </w:r>
      <w:r>
        <w:rPr>
          <w:rFonts w:hint="eastAsia"/>
          <w:sz w:val="32"/>
          <w:szCs w:val="32"/>
          <w:lang w:eastAsia="zh-CN"/>
        </w:rPr>
        <w:t>与增值评价，“双一流”建设</w:t>
      </w:r>
      <w:r>
        <w:rPr>
          <w:sz w:val="32"/>
          <w:szCs w:val="32"/>
          <w:lang w:eastAsia="zh-CN"/>
        </w:rPr>
        <w:t>高校服务国家战略</w:t>
      </w:r>
      <w:r>
        <w:rPr>
          <w:rFonts w:hint="eastAsia"/>
          <w:sz w:val="32"/>
          <w:szCs w:val="32"/>
          <w:lang w:eastAsia="zh-CN"/>
        </w:rPr>
        <w:t>与区域</w:t>
      </w:r>
      <w:r>
        <w:rPr>
          <w:sz w:val="32"/>
          <w:szCs w:val="32"/>
          <w:lang w:eastAsia="zh-CN"/>
        </w:rPr>
        <w:t>经济社会发展的贡献度</w:t>
      </w:r>
      <w:r>
        <w:rPr>
          <w:rFonts w:hint="eastAsia"/>
          <w:sz w:val="32"/>
          <w:szCs w:val="32"/>
          <w:lang w:eastAsia="zh-CN"/>
        </w:rPr>
        <w:t>评价与激励机制</w:t>
      </w:r>
      <w:r>
        <w:rPr>
          <w:sz w:val="32"/>
          <w:szCs w:val="32"/>
          <w:lang w:eastAsia="zh-CN"/>
        </w:rPr>
        <w:t>。</w:t>
      </w:r>
    </w:p>
    <w:p w14:paraId="0A9872F9">
      <w:pPr>
        <w:keepNext w:val="0"/>
        <w:keepLines w:val="0"/>
        <w:pageBreakBefore w:val="0"/>
        <w:kinsoku/>
        <w:wordWrap/>
        <w:overflowPunct/>
        <w:topLinePunct w:val="0"/>
        <w:autoSpaceDE/>
        <w:autoSpaceDN/>
        <w:bidi w:val="0"/>
        <w:adjustRightInd w:val="0"/>
        <w:snapToGrid w:val="0"/>
        <w:spacing w:after="0" w:line="348" w:lineRule="auto"/>
        <w:ind w:firstLine="643" w:firstLineChars="200"/>
        <w:textAlignment w:val="auto"/>
        <w:rPr>
          <w:rFonts w:hint="eastAsia"/>
          <w:sz w:val="32"/>
          <w:szCs w:val="32"/>
          <w:lang w:eastAsia="zh-CN"/>
        </w:rPr>
      </w:pPr>
      <w:r>
        <w:rPr>
          <w:rFonts w:ascii="Times New Roman" w:hAnsi="Times New Roman" w:cs="Times New Roman"/>
          <w:b/>
          <w:sz w:val="32"/>
          <w:szCs w:val="32"/>
          <w:lang w:eastAsia="zh-CN"/>
        </w:rPr>
        <w:t xml:space="preserve">2. </w:t>
      </w:r>
      <w:r>
        <w:rPr>
          <w:b/>
          <w:sz w:val="32"/>
          <w:szCs w:val="32"/>
          <w:lang w:eastAsia="zh-CN"/>
        </w:rPr>
        <w:t>分类推进高校改革与多元评价机制构建：</w:t>
      </w:r>
      <w:r>
        <w:rPr>
          <w:rFonts w:hint="eastAsia"/>
          <w:sz w:val="32"/>
          <w:szCs w:val="32"/>
          <w:lang w:eastAsia="zh-CN"/>
        </w:rPr>
        <w:t>“双一流”“双优”（</w:t>
      </w:r>
      <w:r>
        <w:rPr>
          <w:sz w:val="32"/>
          <w:szCs w:val="32"/>
          <w:lang w:eastAsia="zh-CN"/>
        </w:rPr>
        <w:t>高水平应用型本科高校</w:t>
      </w:r>
      <w:r>
        <w:rPr>
          <w:rFonts w:hint="eastAsia"/>
          <w:sz w:val="32"/>
          <w:szCs w:val="32"/>
          <w:lang w:eastAsia="zh-CN"/>
        </w:rPr>
        <w:t>）</w:t>
      </w:r>
      <w:r>
        <w:rPr>
          <w:sz w:val="32"/>
          <w:szCs w:val="32"/>
          <w:lang w:eastAsia="zh-CN"/>
        </w:rPr>
        <w:t>“新双高”三类建设赛道与研究型、应用型、技能型高校分类评价标准构建</w:t>
      </w:r>
      <w:r>
        <w:rPr>
          <w:rFonts w:hint="eastAsia"/>
          <w:sz w:val="32"/>
          <w:szCs w:val="32"/>
          <w:lang w:eastAsia="zh-CN"/>
        </w:rPr>
        <w:t>，</w:t>
      </w:r>
      <w:r>
        <w:rPr>
          <w:sz w:val="32"/>
          <w:szCs w:val="32"/>
          <w:lang w:eastAsia="zh-CN"/>
        </w:rPr>
        <w:t>省域高校分类管理与发展体系及差异化资源配置激励机制构建</w:t>
      </w:r>
      <w:r>
        <w:rPr>
          <w:rFonts w:hint="eastAsia"/>
          <w:sz w:val="32"/>
          <w:szCs w:val="32"/>
          <w:lang w:eastAsia="zh-CN"/>
        </w:rPr>
        <w:t>，</w:t>
      </w:r>
      <w:r>
        <w:rPr>
          <w:sz w:val="32"/>
          <w:szCs w:val="32"/>
          <w:lang w:eastAsia="zh-CN"/>
        </w:rPr>
        <w:t>不同类型高校人才自主培养质效与办学质量分类评价指标构建与实践。</w:t>
      </w:r>
    </w:p>
    <w:p w14:paraId="157F66AB">
      <w:pPr>
        <w:keepNext w:val="0"/>
        <w:keepLines w:val="0"/>
        <w:pageBreakBefore w:val="0"/>
        <w:kinsoku/>
        <w:wordWrap/>
        <w:overflowPunct/>
        <w:topLinePunct w:val="0"/>
        <w:autoSpaceDE/>
        <w:autoSpaceDN/>
        <w:bidi w:val="0"/>
        <w:adjustRightInd w:val="0"/>
        <w:snapToGrid w:val="0"/>
        <w:spacing w:after="0" w:line="348" w:lineRule="auto"/>
        <w:ind w:firstLine="643" w:firstLineChars="200"/>
        <w:textAlignment w:val="auto"/>
        <w:rPr>
          <w:rFonts w:hint="eastAsia"/>
          <w:sz w:val="32"/>
          <w:szCs w:val="32"/>
          <w:lang w:eastAsia="zh-CN"/>
        </w:rPr>
      </w:pPr>
      <w:r>
        <w:rPr>
          <w:rFonts w:ascii="Times New Roman" w:hAnsi="Times New Roman" w:cs="Times New Roman"/>
          <w:b/>
          <w:sz w:val="32"/>
          <w:szCs w:val="32"/>
          <w:lang w:eastAsia="zh-CN"/>
        </w:rPr>
        <w:t xml:space="preserve">3. </w:t>
      </w:r>
      <w:r>
        <w:rPr>
          <w:b/>
          <w:sz w:val="32"/>
          <w:szCs w:val="32"/>
          <w:lang w:eastAsia="zh-CN"/>
        </w:rPr>
        <w:t>拔尖创新人才自主培养评价改革：</w:t>
      </w:r>
      <w:r>
        <w:rPr>
          <w:rFonts w:hint="eastAsia"/>
          <w:sz w:val="32"/>
          <w:szCs w:val="32"/>
          <w:lang w:eastAsia="zh-CN"/>
        </w:rPr>
        <w:t>科教融汇、产教融合与学科交叉融合的拔尖创新人才培养模式评价，</w:t>
      </w:r>
      <w:r>
        <w:rPr>
          <w:sz w:val="32"/>
          <w:szCs w:val="32"/>
          <w:lang w:eastAsia="zh-CN"/>
        </w:rPr>
        <w:t>“强基计划”</w:t>
      </w:r>
      <w:r>
        <w:rPr>
          <w:rFonts w:hint="eastAsia"/>
          <w:sz w:val="32"/>
          <w:szCs w:val="32"/>
          <w:lang w:eastAsia="zh-CN"/>
        </w:rPr>
        <w:t>与基础学科拔尖人才培养长周期评价及动态进出机制，基础学科和战略急需领域本硕博衔接培养分类质量评价</w:t>
      </w:r>
      <w:r>
        <w:rPr>
          <w:sz w:val="32"/>
          <w:szCs w:val="32"/>
          <w:lang w:eastAsia="zh-CN"/>
        </w:rPr>
        <w:t>。</w:t>
      </w:r>
    </w:p>
    <w:p w14:paraId="5392680A">
      <w:pPr>
        <w:keepNext w:val="0"/>
        <w:keepLines w:val="0"/>
        <w:pageBreakBefore w:val="0"/>
        <w:widowControl w:val="0"/>
        <w:kinsoku/>
        <w:wordWrap/>
        <w:overflowPunct/>
        <w:topLinePunct w:val="0"/>
        <w:autoSpaceDE/>
        <w:autoSpaceDN/>
        <w:bidi w:val="0"/>
        <w:adjustRightInd w:val="0"/>
        <w:snapToGrid w:val="0"/>
        <w:spacing w:after="0" w:line="348" w:lineRule="auto"/>
        <w:ind w:firstLine="643" w:firstLineChars="200"/>
        <w:textAlignment w:val="auto"/>
        <w:rPr>
          <w:rFonts w:hint="eastAsia"/>
          <w:sz w:val="32"/>
          <w:szCs w:val="32"/>
          <w:lang w:eastAsia="zh-CN"/>
        </w:rPr>
      </w:pPr>
      <w:r>
        <w:rPr>
          <w:rFonts w:ascii="Times New Roman" w:hAnsi="Times New Roman" w:cs="Times New Roman"/>
          <w:b/>
          <w:sz w:val="32"/>
          <w:szCs w:val="32"/>
          <w:lang w:eastAsia="zh-CN"/>
        </w:rPr>
        <w:t xml:space="preserve">4. </w:t>
      </w:r>
      <w:r>
        <w:rPr>
          <w:b/>
          <w:sz w:val="32"/>
          <w:szCs w:val="32"/>
          <w:lang w:eastAsia="zh-CN"/>
        </w:rPr>
        <w:t>高校学生培养质量评价机制创新：</w:t>
      </w:r>
      <w:r>
        <w:rPr>
          <w:sz w:val="32"/>
          <w:szCs w:val="32"/>
          <w:lang w:eastAsia="zh-CN"/>
        </w:rPr>
        <w:t>学生发展增值评价模型构建与应用</w:t>
      </w:r>
      <w:r>
        <w:rPr>
          <w:rFonts w:hint="eastAsia"/>
          <w:sz w:val="32"/>
          <w:szCs w:val="32"/>
          <w:lang w:eastAsia="zh-CN"/>
        </w:rPr>
        <w:t>，</w:t>
      </w:r>
      <w:r>
        <w:rPr>
          <w:sz w:val="32"/>
          <w:szCs w:val="32"/>
          <w:lang w:eastAsia="zh-CN"/>
        </w:rPr>
        <w:t>学生学业质量与就业质量联动评价</w:t>
      </w:r>
      <w:r>
        <w:rPr>
          <w:rFonts w:hint="eastAsia"/>
          <w:sz w:val="32"/>
          <w:szCs w:val="32"/>
          <w:lang w:eastAsia="zh-CN"/>
        </w:rPr>
        <w:t>，</w:t>
      </w:r>
      <w:r>
        <w:rPr>
          <w:sz w:val="32"/>
          <w:szCs w:val="32"/>
          <w:lang w:eastAsia="zh-CN"/>
        </w:rPr>
        <w:t>核心素养导向的人才培养质量评估。</w:t>
      </w:r>
    </w:p>
    <w:p w14:paraId="32AE3122">
      <w:pPr>
        <w:keepNext w:val="0"/>
        <w:keepLines w:val="0"/>
        <w:pageBreakBefore w:val="0"/>
        <w:kinsoku/>
        <w:wordWrap/>
        <w:overflowPunct/>
        <w:topLinePunct w:val="0"/>
        <w:autoSpaceDE/>
        <w:autoSpaceDN/>
        <w:bidi w:val="0"/>
        <w:adjustRightInd w:val="0"/>
        <w:snapToGrid w:val="0"/>
        <w:spacing w:after="0" w:line="348" w:lineRule="auto"/>
        <w:ind w:firstLine="643" w:firstLineChars="200"/>
        <w:textAlignment w:val="auto"/>
        <w:rPr>
          <w:rFonts w:hint="eastAsia"/>
          <w:sz w:val="32"/>
          <w:szCs w:val="32"/>
          <w:lang w:eastAsia="zh-CN"/>
        </w:rPr>
      </w:pPr>
      <w:r>
        <w:rPr>
          <w:rFonts w:ascii="Times New Roman" w:hAnsi="Times New Roman" w:cs="Times New Roman"/>
          <w:b/>
          <w:sz w:val="32"/>
          <w:szCs w:val="32"/>
          <w:lang w:eastAsia="zh-CN"/>
        </w:rPr>
        <w:t xml:space="preserve">5. </w:t>
      </w:r>
      <w:r>
        <w:rPr>
          <w:b/>
          <w:sz w:val="32"/>
          <w:szCs w:val="32"/>
          <w:lang w:eastAsia="zh-CN"/>
        </w:rPr>
        <w:t>高校教师分类评价与人才发展机制改革：</w:t>
      </w:r>
      <w:r>
        <w:rPr>
          <w:sz w:val="32"/>
          <w:szCs w:val="32"/>
          <w:lang w:eastAsia="zh-CN"/>
        </w:rPr>
        <w:t>新时代高校青年教师</w:t>
      </w:r>
      <w:r>
        <w:rPr>
          <w:rFonts w:hint="eastAsia"/>
          <w:sz w:val="32"/>
          <w:szCs w:val="32"/>
          <w:lang w:eastAsia="zh-CN"/>
        </w:rPr>
        <w:t>分层</w:t>
      </w:r>
      <w:r>
        <w:rPr>
          <w:sz w:val="32"/>
          <w:szCs w:val="32"/>
          <w:lang w:eastAsia="zh-CN"/>
        </w:rPr>
        <w:t>分类评价体系</w:t>
      </w:r>
      <w:r>
        <w:rPr>
          <w:rFonts w:hint="eastAsia"/>
          <w:sz w:val="32"/>
          <w:szCs w:val="32"/>
          <w:lang w:eastAsia="zh-CN"/>
        </w:rPr>
        <w:t>构建，</w:t>
      </w:r>
      <w:r>
        <w:rPr>
          <w:sz w:val="32"/>
          <w:szCs w:val="32"/>
          <w:lang w:eastAsia="zh-CN"/>
        </w:rPr>
        <w:t>预聘</w:t>
      </w:r>
      <w:r>
        <w:rPr>
          <w:rFonts w:hint="eastAsia"/>
          <w:sz w:val="32"/>
          <w:szCs w:val="32"/>
          <w:lang w:eastAsia="zh-CN"/>
        </w:rPr>
        <w:t>-</w:t>
      </w:r>
      <w:r>
        <w:rPr>
          <w:sz w:val="32"/>
          <w:szCs w:val="32"/>
          <w:lang w:eastAsia="zh-CN"/>
        </w:rPr>
        <w:t>长聘</w:t>
      </w:r>
      <w:r>
        <w:rPr>
          <w:rFonts w:hint="eastAsia"/>
          <w:sz w:val="32"/>
          <w:szCs w:val="32"/>
          <w:lang w:eastAsia="zh-CN"/>
        </w:rPr>
        <w:t>教职体系下教师评价机制创新，</w:t>
      </w:r>
      <w:r>
        <w:rPr>
          <w:sz w:val="32"/>
          <w:szCs w:val="32"/>
          <w:lang w:eastAsia="zh-CN"/>
        </w:rPr>
        <w:t>同行专家评议与代表性成果评价制度</w:t>
      </w:r>
      <w:r>
        <w:rPr>
          <w:rFonts w:hint="eastAsia"/>
          <w:sz w:val="32"/>
          <w:szCs w:val="32"/>
          <w:lang w:eastAsia="zh-CN"/>
        </w:rPr>
        <w:t>，</w:t>
      </w:r>
      <w:r>
        <w:rPr>
          <w:sz w:val="32"/>
          <w:szCs w:val="32"/>
          <w:lang w:eastAsia="zh-CN"/>
        </w:rPr>
        <w:t>职称评审</w:t>
      </w:r>
      <w:r>
        <w:rPr>
          <w:rFonts w:hint="eastAsia"/>
          <w:sz w:val="32"/>
          <w:szCs w:val="32"/>
          <w:lang w:eastAsia="zh-CN"/>
        </w:rPr>
        <w:t>放权赋能与</w:t>
      </w:r>
      <w:r>
        <w:rPr>
          <w:sz w:val="32"/>
          <w:szCs w:val="32"/>
          <w:lang w:eastAsia="zh-CN"/>
        </w:rPr>
        <w:t>“一院一策”</w:t>
      </w:r>
      <w:r>
        <w:rPr>
          <w:rFonts w:hint="eastAsia"/>
          <w:sz w:val="32"/>
          <w:szCs w:val="32"/>
          <w:lang w:eastAsia="zh-CN"/>
        </w:rPr>
        <w:t>差异化实施改革</w:t>
      </w:r>
      <w:r>
        <w:rPr>
          <w:sz w:val="32"/>
          <w:szCs w:val="32"/>
          <w:lang w:eastAsia="zh-CN"/>
        </w:rPr>
        <w:t>实践。</w:t>
      </w:r>
    </w:p>
    <w:p w14:paraId="5F9FB599">
      <w:pPr>
        <w:keepNext w:val="0"/>
        <w:keepLines w:val="0"/>
        <w:pageBreakBefore w:val="0"/>
        <w:widowControl w:val="0"/>
        <w:kinsoku/>
        <w:wordWrap/>
        <w:overflowPunct/>
        <w:topLinePunct w:val="0"/>
        <w:autoSpaceDE/>
        <w:autoSpaceDN/>
        <w:bidi w:val="0"/>
        <w:adjustRightInd w:val="0"/>
        <w:snapToGrid w:val="0"/>
        <w:spacing w:after="0" w:line="348" w:lineRule="auto"/>
        <w:ind w:firstLine="643" w:firstLineChars="200"/>
        <w:textAlignment w:val="auto"/>
        <w:rPr>
          <w:rFonts w:hint="eastAsia"/>
          <w:sz w:val="32"/>
          <w:szCs w:val="32"/>
          <w:lang w:eastAsia="zh-CN"/>
        </w:rPr>
      </w:pPr>
      <w:r>
        <w:rPr>
          <w:rFonts w:ascii="Times New Roman" w:hAnsi="Times New Roman" w:cs="Times New Roman"/>
          <w:b/>
          <w:sz w:val="32"/>
          <w:szCs w:val="32"/>
          <w:lang w:eastAsia="zh-CN"/>
        </w:rPr>
        <w:t xml:space="preserve">6. </w:t>
      </w:r>
      <w:r>
        <w:rPr>
          <w:b/>
          <w:sz w:val="32"/>
          <w:szCs w:val="32"/>
          <w:lang w:eastAsia="zh-CN"/>
        </w:rPr>
        <w:t>高校招生</w:t>
      </w:r>
      <w:r>
        <w:rPr>
          <w:rFonts w:hint="eastAsia"/>
          <w:b/>
          <w:sz w:val="32"/>
          <w:szCs w:val="32"/>
          <w:lang w:eastAsia="zh-CN"/>
        </w:rPr>
        <w:t>-</w:t>
      </w:r>
      <w:r>
        <w:rPr>
          <w:b/>
          <w:sz w:val="32"/>
          <w:szCs w:val="32"/>
          <w:lang w:eastAsia="zh-CN"/>
        </w:rPr>
        <w:t>培养</w:t>
      </w:r>
      <w:r>
        <w:rPr>
          <w:rFonts w:hint="eastAsia"/>
          <w:b/>
          <w:sz w:val="32"/>
          <w:szCs w:val="32"/>
          <w:lang w:eastAsia="zh-CN"/>
        </w:rPr>
        <w:t>-</w:t>
      </w:r>
      <w:r>
        <w:rPr>
          <w:b/>
          <w:sz w:val="32"/>
          <w:szCs w:val="32"/>
          <w:lang w:eastAsia="zh-CN"/>
        </w:rPr>
        <w:t>就业联动评价机制：</w:t>
      </w:r>
      <w:r>
        <w:rPr>
          <w:sz w:val="32"/>
          <w:szCs w:val="32"/>
          <w:lang w:eastAsia="zh-CN"/>
        </w:rPr>
        <w:t>就业质量监测</w:t>
      </w:r>
      <w:r>
        <w:rPr>
          <w:rFonts w:hint="eastAsia"/>
          <w:sz w:val="32"/>
          <w:szCs w:val="32"/>
          <w:lang w:eastAsia="zh-CN"/>
        </w:rPr>
        <w:t>和</w:t>
      </w:r>
      <w:r>
        <w:rPr>
          <w:sz w:val="32"/>
          <w:szCs w:val="32"/>
          <w:lang w:eastAsia="zh-CN"/>
        </w:rPr>
        <w:t>评价反馈</w:t>
      </w:r>
      <w:r>
        <w:rPr>
          <w:rFonts w:hint="eastAsia"/>
          <w:sz w:val="32"/>
          <w:szCs w:val="32"/>
          <w:lang w:eastAsia="zh-CN"/>
        </w:rPr>
        <w:t>，</w:t>
      </w:r>
      <w:r>
        <w:rPr>
          <w:sz w:val="32"/>
          <w:szCs w:val="32"/>
          <w:lang w:eastAsia="zh-CN"/>
        </w:rPr>
        <w:t>人才培养与经济社会发展需求适配性评估</w:t>
      </w:r>
      <w:r>
        <w:rPr>
          <w:rFonts w:hint="eastAsia"/>
          <w:sz w:val="32"/>
          <w:szCs w:val="32"/>
          <w:lang w:eastAsia="zh-CN"/>
        </w:rPr>
        <w:t>，</w:t>
      </w:r>
      <w:r>
        <w:rPr>
          <w:sz w:val="32"/>
          <w:szCs w:val="32"/>
          <w:lang w:eastAsia="zh-CN"/>
        </w:rPr>
        <w:t>学科专业预警与动态调整机制。</w:t>
      </w:r>
    </w:p>
    <w:p w14:paraId="0D069D08">
      <w:pPr>
        <w:keepNext w:val="0"/>
        <w:keepLines w:val="0"/>
        <w:pageBreakBefore w:val="0"/>
        <w:kinsoku/>
        <w:wordWrap/>
        <w:overflowPunct/>
        <w:topLinePunct w:val="0"/>
        <w:autoSpaceDE/>
        <w:autoSpaceDN/>
        <w:bidi w:val="0"/>
        <w:adjustRightInd w:val="0"/>
        <w:snapToGrid w:val="0"/>
        <w:spacing w:after="0" w:line="348" w:lineRule="auto"/>
        <w:ind w:firstLine="643" w:firstLineChars="200"/>
        <w:textAlignment w:val="auto"/>
        <w:rPr>
          <w:rFonts w:hint="eastAsia"/>
          <w:sz w:val="32"/>
          <w:szCs w:val="32"/>
          <w:lang w:eastAsia="zh-CN"/>
        </w:rPr>
      </w:pPr>
      <w:r>
        <w:rPr>
          <w:rFonts w:ascii="Times New Roman" w:hAnsi="Times New Roman" w:cs="Times New Roman"/>
          <w:b/>
          <w:sz w:val="32"/>
          <w:szCs w:val="32"/>
          <w:lang w:eastAsia="zh-CN"/>
        </w:rPr>
        <w:t xml:space="preserve">7. </w:t>
      </w:r>
      <w:r>
        <w:rPr>
          <w:b/>
          <w:sz w:val="32"/>
          <w:szCs w:val="32"/>
          <w:lang w:eastAsia="zh-CN"/>
        </w:rPr>
        <w:t>工程硕博士学位授予标准与分类评价改革：</w:t>
      </w:r>
      <w:r>
        <w:rPr>
          <w:sz w:val="32"/>
          <w:szCs w:val="32"/>
          <w:lang w:eastAsia="zh-CN"/>
        </w:rPr>
        <w:t>以实践成果申请学位的</w:t>
      </w:r>
      <w:r>
        <w:rPr>
          <w:rFonts w:hint="eastAsia"/>
          <w:sz w:val="32"/>
          <w:szCs w:val="32"/>
          <w:lang w:eastAsia="zh-CN"/>
        </w:rPr>
        <w:t>多元</w:t>
      </w:r>
      <w:r>
        <w:rPr>
          <w:sz w:val="32"/>
          <w:szCs w:val="32"/>
          <w:lang w:eastAsia="zh-CN"/>
        </w:rPr>
        <w:t>评价标准</w:t>
      </w:r>
      <w:r>
        <w:rPr>
          <w:rFonts w:hint="eastAsia"/>
          <w:sz w:val="32"/>
          <w:szCs w:val="32"/>
          <w:lang w:eastAsia="zh-CN"/>
        </w:rPr>
        <w:t>构建，</w:t>
      </w:r>
      <w:r>
        <w:rPr>
          <w:sz w:val="32"/>
          <w:szCs w:val="32"/>
          <w:lang w:eastAsia="zh-CN"/>
        </w:rPr>
        <w:t>产教融合校企联合培养全过程质量评估机制</w:t>
      </w:r>
      <w:r>
        <w:rPr>
          <w:rFonts w:hint="eastAsia"/>
          <w:sz w:val="32"/>
          <w:szCs w:val="32"/>
          <w:lang w:eastAsia="zh-CN"/>
        </w:rPr>
        <w:t>，</w:t>
      </w:r>
      <w:r>
        <w:rPr>
          <w:sz w:val="32"/>
          <w:szCs w:val="32"/>
          <w:lang w:eastAsia="zh-CN"/>
        </w:rPr>
        <w:t>行业企业专家参与学位评审、分类分层的学位评议实践。</w:t>
      </w:r>
    </w:p>
    <w:p w14:paraId="51C2E557">
      <w:pPr>
        <w:keepNext w:val="0"/>
        <w:keepLines w:val="0"/>
        <w:pageBreakBefore w:val="0"/>
        <w:kinsoku/>
        <w:wordWrap/>
        <w:overflowPunct/>
        <w:topLinePunct w:val="0"/>
        <w:autoSpaceDE/>
        <w:autoSpaceDN/>
        <w:bidi w:val="0"/>
        <w:adjustRightInd w:val="0"/>
        <w:snapToGrid w:val="0"/>
        <w:spacing w:after="0" w:line="348" w:lineRule="auto"/>
        <w:ind w:firstLine="643" w:firstLineChars="200"/>
        <w:textAlignment w:val="auto"/>
        <w:rPr>
          <w:rFonts w:hint="eastAsia"/>
          <w:sz w:val="32"/>
          <w:szCs w:val="32"/>
          <w:lang w:eastAsia="zh-CN"/>
        </w:rPr>
      </w:pPr>
      <w:bookmarkStart w:id="1" w:name="OLE_LINK4"/>
      <w:r>
        <w:rPr>
          <w:rFonts w:ascii="Times New Roman" w:hAnsi="Times New Roman" w:cs="Times New Roman"/>
          <w:b/>
          <w:sz w:val="32"/>
          <w:szCs w:val="32"/>
          <w:lang w:eastAsia="zh-CN"/>
        </w:rPr>
        <w:t xml:space="preserve">8. </w:t>
      </w:r>
      <w:r>
        <w:rPr>
          <w:b/>
          <w:bCs/>
          <w:sz w:val="32"/>
          <w:szCs w:val="32"/>
          <w:lang w:eastAsia="zh-CN"/>
        </w:rPr>
        <w:t>高校科技成果转化与产学研协同创新评价：</w:t>
      </w:r>
      <w:r>
        <w:rPr>
          <w:sz w:val="32"/>
          <w:szCs w:val="32"/>
          <w:lang w:eastAsia="zh-CN"/>
        </w:rPr>
        <w:t>科技成果转化成效</w:t>
      </w:r>
      <w:r>
        <w:rPr>
          <w:rFonts w:hint="eastAsia"/>
          <w:sz w:val="32"/>
          <w:szCs w:val="32"/>
          <w:lang w:eastAsia="zh-CN"/>
        </w:rPr>
        <w:t>多维</w:t>
      </w:r>
      <w:r>
        <w:rPr>
          <w:sz w:val="32"/>
          <w:szCs w:val="32"/>
          <w:lang w:eastAsia="zh-CN"/>
        </w:rPr>
        <w:t>评价指标</w:t>
      </w:r>
      <w:r>
        <w:rPr>
          <w:rFonts w:hint="eastAsia"/>
          <w:sz w:val="32"/>
          <w:szCs w:val="32"/>
          <w:lang w:eastAsia="zh-CN"/>
        </w:rPr>
        <w:t>体系构建，产学研用合作质量评估机制创新，</w:t>
      </w:r>
      <w:r>
        <w:rPr>
          <w:sz w:val="32"/>
          <w:szCs w:val="32"/>
          <w:lang w:eastAsia="zh-CN"/>
        </w:rPr>
        <w:t>高校</w:t>
      </w:r>
      <w:r>
        <w:rPr>
          <w:rFonts w:hint="eastAsia"/>
          <w:sz w:val="32"/>
          <w:szCs w:val="32"/>
          <w:lang w:eastAsia="zh-CN"/>
        </w:rPr>
        <w:t>成果转化</w:t>
      </w:r>
      <w:r>
        <w:rPr>
          <w:sz w:val="32"/>
          <w:szCs w:val="32"/>
          <w:lang w:eastAsia="zh-CN"/>
        </w:rPr>
        <w:t>服务区域经济社会发展</w:t>
      </w:r>
      <w:r>
        <w:rPr>
          <w:rFonts w:hint="eastAsia"/>
          <w:sz w:val="32"/>
          <w:szCs w:val="32"/>
          <w:lang w:eastAsia="zh-CN"/>
        </w:rPr>
        <w:t>的评价</w:t>
      </w:r>
      <w:r>
        <w:rPr>
          <w:sz w:val="32"/>
          <w:szCs w:val="32"/>
          <w:lang w:eastAsia="zh-CN"/>
        </w:rPr>
        <w:t>激励机制。</w:t>
      </w:r>
    </w:p>
    <w:bookmarkEnd w:id="1"/>
    <w:p w14:paraId="3CE5259B">
      <w:pPr>
        <w:keepNext w:val="0"/>
        <w:keepLines w:val="0"/>
        <w:pageBreakBefore w:val="0"/>
        <w:kinsoku/>
        <w:wordWrap/>
        <w:overflowPunct/>
        <w:topLinePunct w:val="0"/>
        <w:autoSpaceDE/>
        <w:autoSpaceDN/>
        <w:bidi w:val="0"/>
        <w:adjustRightInd w:val="0"/>
        <w:snapToGrid w:val="0"/>
        <w:spacing w:after="0" w:line="348" w:lineRule="auto"/>
        <w:ind w:firstLine="643" w:firstLineChars="200"/>
        <w:textAlignment w:val="auto"/>
        <w:rPr>
          <w:rFonts w:hint="eastAsia"/>
          <w:sz w:val="32"/>
          <w:szCs w:val="32"/>
          <w:lang w:eastAsia="zh-CN"/>
        </w:rPr>
      </w:pPr>
      <w:r>
        <w:rPr>
          <w:rFonts w:ascii="Times New Roman" w:hAnsi="Times New Roman" w:cs="Times New Roman"/>
          <w:b/>
          <w:sz w:val="32"/>
          <w:szCs w:val="32"/>
          <w:lang w:eastAsia="zh-CN"/>
        </w:rPr>
        <w:t xml:space="preserve">9. </w:t>
      </w:r>
      <w:r>
        <w:rPr>
          <w:b/>
          <w:sz w:val="32"/>
          <w:szCs w:val="32"/>
          <w:lang w:eastAsia="zh-CN"/>
        </w:rPr>
        <w:t>课程思政与“大思政课”</w:t>
      </w:r>
      <w:r>
        <w:rPr>
          <w:rFonts w:hint="eastAsia"/>
          <w:b/>
          <w:sz w:val="32"/>
          <w:szCs w:val="32"/>
          <w:lang w:eastAsia="zh-CN"/>
        </w:rPr>
        <w:t>协同</w:t>
      </w:r>
      <w:r>
        <w:rPr>
          <w:b/>
          <w:sz w:val="32"/>
          <w:szCs w:val="32"/>
          <w:lang w:eastAsia="zh-CN"/>
        </w:rPr>
        <w:t>育人成效评价：</w:t>
      </w:r>
      <w:r>
        <w:rPr>
          <w:sz w:val="32"/>
          <w:szCs w:val="32"/>
          <w:lang w:eastAsia="zh-CN"/>
        </w:rPr>
        <w:t>高校课程思政</w:t>
      </w:r>
      <w:r>
        <w:rPr>
          <w:rFonts w:hint="eastAsia"/>
          <w:sz w:val="32"/>
          <w:szCs w:val="32"/>
          <w:lang w:eastAsia="zh-CN"/>
        </w:rPr>
        <w:t>多维</w:t>
      </w:r>
      <w:r>
        <w:rPr>
          <w:sz w:val="32"/>
          <w:szCs w:val="32"/>
          <w:lang w:eastAsia="zh-CN"/>
        </w:rPr>
        <w:t>教学评价标准</w:t>
      </w:r>
      <w:r>
        <w:rPr>
          <w:rFonts w:hint="eastAsia"/>
          <w:sz w:val="32"/>
          <w:szCs w:val="32"/>
          <w:lang w:eastAsia="zh-CN"/>
        </w:rPr>
        <w:t>体系构建，</w:t>
      </w:r>
      <w:r>
        <w:rPr>
          <w:sz w:val="32"/>
          <w:szCs w:val="32"/>
          <w:lang w:eastAsia="zh-CN"/>
        </w:rPr>
        <w:t>教师课程思政育人能力考核评价</w:t>
      </w:r>
      <w:r>
        <w:rPr>
          <w:rFonts w:hint="eastAsia"/>
          <w:sz w:val="32"/>
          <w:szCs w:val="32"/>
          <w:lang w:eastAsia="zh-CN"/>
        </w:rPr>
        <w:t>，“大思政课”协同</w:t>
      </w:r>
      <w:r>
        <w:rPr>
          <w:sz w:val="32"/>
          <w:szCs w:val="32"/>
          <w:lang w:eastAsia="zh-CN"/>
        </w:rPr>
        <w:t>育人</w:t>
      </w:r>
      <w:r>
        <w:rPr>
          <w:rFonts w:hint="eastAsia"/>
          <w:sz w:val="32"/>
          <w:szCs w:val="32"/>
          <w:lang w:eastAsia="zh-CN"/>
        </w:rPr>
        <w:t>全过程</w:t>
      </w:r>
      <w:r>
        <w:rPr>
          <w:sz w:val="32"/>
          <w:szCs w:val="32"/>
          <w:lang w:eastAsia="zh-CN"/>
        </w:rPr>
        <w:t>实效性评估</w:t>
      </w:r>
      <w:r>
        <w:rPr>
          <w:rFonts w:hint="eastAsia"/>
          <w:sz w:val="32"/>
          <w:szCs w:val="32"/>
          <w:lang w:eastAsia="zh-CN"/>
        </w:rPr>
        <w:t>机制创新</w:t>
      </w:r>
      <w:r>
        <w:rPr>
          <w:sz w:val="32"/>
          <w:szCs w:val="32"/>
          <w:lang w:eastAsia="zh-CN"/>
        </w:rPr>
        <w:t>。</w:t>
      </w:r>
    </w:p>
    <w:p w14:paraId="3DE06D79">
      <w:pPr>
        <w:keepNext w:val="0"/>
        <w:keepLines w:val="0"/>
        <w:pageBreakBefore w:val="0"/>
        <w:kinsoku/>
        <w:wordWrap/>
        <w:overflowPunct/>
        <w:topLinePunct w:val="0"/>
        <w:autoSpaceDE/>
        <w:autoSpaceDN/>
        <w:bidi w:val="0"/>
        <w:adjustRightInd w:val="0"/>
        <w:snapToGrid w:val="0"/>
        <w:spacing w:after="0" w:line="348" w:lineRule="auto"/>
        <w:ind w:firstLine="643" w:firstLineChars="200"/>
        <w:textAlignment w:val="auto"/>
        <w:rPr>
          <w:rFonts w:hint="eastAsia"/>
          <w:sz w:val="32"/>
          <w:szCs w:val="32"/>
          <w:lang w:eastAsia="zh-CN"/>
        </w:rPr>
      </w:pPr>
      <w:r>
        <w:rPr>
          <w:rFonts w:ascii="Times New Roman" w:hAnsi="Times New Roman" w:cs="Times New Roman"/>
          <w:b/>
          <w:sz w:val="32"/>
          <w:szCs w:val="32"/>
          <w:lang w:eastAsia="zh-CN"/>
        </w:rPr>
        <w:t xml:space="preserve">10. </w:t>
      </w:r>
      <w:r>
        <w:rPr>
          <w:b/>
          <w:sz w:val="32"/>
          <w:szCs w:val="32"/>
          <w:lang w:eastAsia="zh-CN"/>
        </w:rPr>
        <w:t>高校学科美育与体育评价改革：</w:t>
      </w:r>
      <w:r>
        <w:rPr>
          <w:sz w:val="32"/>
          <w:szCs w:val="32"/>
          <w:lang w:eastAsia="zh-CN"/>
        </w:rPr>
        <w:t>高校学科美育与公共艺术教育多维教学评价体系构建</w:t>
      </w:r>
      <w:r>
        <w:rPr>
          <w:rFonts w:hint="eastAsia"/>
          <w:sz w:val="32"/>
          <w:szCs w:val="32"/>
          <w:lang w:eastAsia="zh-CN"/>
        </w:rPr>
        <w:t>，</w:t>
      </w:r>
      <w:r>
        <w:rPr>
          <w:sz w:val="32"/>
          <w:szCs w:val="32"/>
          <w:lang w:eastAsia="zh-CN"/>
        </w:rPr>
        <w:t>学生体质健康促进、体育课程教学与课外锻炼一体化综合评价机制。</w:t>
      </w:r>
    </w:p>
    <w:p w14:paraId="65D47D57">
      <w:pPr>
        <w:keepNext w:val="0"/>
        <w:keepLines w:val="0"/>
        <w:pageBreakBefore w:val="0"/>
        <w:kinsoku/>
        <w:wordWrap/>
        <w:overflowPunct/>
        <w:topLinePunct w:val="0"/>
        <w:autoSpaceDE/>
        <w:autoSpaceDN/>
        <w:bidi w:val="0"/>
        <w:adjustRightInd w:val="0"/>
        <w:snapToGrid w:val="0"/>
        <w:spacing w:after="0" w:line="348" w:lineRule="auto"/>
        <w:ind w:firstLine="643" w:firstLineChars="200"/>
        <w:textAlignment w:val="auto"/>
        <w:rPr>
          <w:rFonts w:hint="eastAsia"/>
          <w:sz w:val="32"/>
          <w:szCs w:val="32"/>
          <w:lang w:eastAsia="zh-CN"/>
        </w:rPr>
      </w:pPr>
      <w:r>
        <w:rPr>
          <w:rFonts w:ascii="Times New Roman" w:hAnsi="Times New Roman" w:cs="Times New Roman"/>
          <w:b/>
          <w:sz w:val="32"/>
          <w:szCs w:val="32"/>
          <w:lang w:eastAsia="zh-CN"/>
        </w:rPr>
        <w:t xml:space="preserve">11. </w:t>
      </w:r>
      <w:r>
        <w:rPr>
          <w:b/>
          <w:sz w:val="32"/>
          <w:szCs w:val="32"/>
          <w:lang w:eastAsia="zh-CN"/>
        </w:rPr>
        <w:t>学位论文质量保障与学术诚信评价：</w:t>
      </w:r>
      <w:r>
        <w:rPr>
          <w:sz w:val="32"/>
          <w:szCs w:val="32"/>
          <w:lang w:eastAsia="zh-CN"/>
        </w:rPr>
        <w:t>全过程学术诚信防控与学术不端综合治理机制建设</w:t>
      </w:r>
      <w:r>
        <w:rPr>
          <w:rFonts w:hint="eastAsia"/>
          <w:sz w:val="32"/>
          <w:szCs w:val="32"/>
          <w:lang w:eastAsia="zh-CN"/>
        </w:rPr>
        <w:t>，</w:t>
      </w:r>
      <w:r>
        <w:rPr>
          <w:sz w:val="32"/>
          <w:szCs w:val="32"/>
          <w:lang w:eastAsia="zh-CN"/>
        </w:rPr>
        <w:t>学位论文分类抽检评估与质量改进机制创新</w:t>
      </w:r>
      <w:r>
        <w:rPr>
          <w:rFonts w:hint="eastAsia"/>
          <w:sz w:val="32"/>
          <w:szCs w:val="32"/>
          <w:lang w:eastAsia="zh-CN"/>
        </w:rPr>
        <w:t>，</w:t>
      </w:r>
      <w:r>
        <w:rPr>
          <w:sz w:val="32"/>
          <w:szCs w:val="32"/>
          <w:lang w:eastAsia="zh-CN"/>
        </w:rPr>
        <w:t>应对生成式人工智能</w:t>
      </w:r>
      <w:r>
        <w:rPr>
          <w:rFonts w:hint="eastAsia"/>
          <w:sz w:val="32"/>
          <w:szCs w:val="32"/>
          <w:lang w:eastAsia="zh-CN"/>
        </w:rPr>
        <w:t>挑战的</w:t>
      </w:r>
      <w:r>
        <w:rPr>
          <w:sz w:val="32"/>
          <w:szCs w:val="32"/>
          <w:lang w:eastAsia="zh-CN"/>
        </w:rPr>
        <w:t>学术评价规范构建</w:t>
      </w:r>
      <w:r>
        <w:rPr>
          <w:rFonts w:hint="eastAsia"/>
          <w:sz w:val="32"/>
          <w:szCs w:val="32"/>
          <w:lang w:eastAsia="zh-CN"/>
        </w:rPr>
        <w:t>与</w:t>
      </w:r>
      <w:r>
        <w:rPr>
          <w:sz w:val="32"/>
          <w:szCs w:val="32"/>
          <w:lang w:eastAsia="zh-CN"/>
        </w:rPr>
        <w:t>实践。</w:t>
      </w:r>
    </w:p>
    <w:p w14:paraId="23D97043">
      <w:pPr>
        <w:keepNext w:val="0"/>
        <w:keepLines w:val="0"/>
        <w:pageBreakBefore w:val="0"/>
        <w:widowControl w:val="0"/>
        <w:kinsoku/>
        <w:wordWrap/>
        <w:overflowPunct/>
        <w:topLinePunct w:val="0"/>
        <w:autoSpaceDE/>
        <w:autoSpaceDN/>
        <w:bidi w:val="0"/>
        <w:adjustRightInd w:val="0"/>
        <w:snapToGrid w:val="0"/>
        <w:spacing w:after="0" w:line="348" w:lineRule="auto"/>
        <w:ind w:firstLine="643" w:firstLineChars="200"/>
        <w:textAlignment w:val="auto"/>
        <w:rPr>
          <w:rFonts w:hint="eastAsia"/>
          <w:sz w:val="32"/>
          <w:szCs w:val="32"/>
          <w:lang w:eastAsia="zh-CN"/>
        </w:rPr>
      </w:pPr>
      <w:r>
        <w:rPr>
          <w:rFonts w:ascii="Times New Roman" w:hAnsi="Times New Roman" w:cs="Times New Roman"/>
          <w:b/>
          <w:sz w:val="32"/>
          <w:szCs w:val="32"/>
          <w:lang w:eastAsia="zh-CN"/>
        </w:rPr>
        <w:t xml:space="preserve">12. </w:t>
      </w:r>
      <w:r>
        <w:rPr>
          <w:b/>
          <w:sz w:val="32"/>
          <w:szCs w:val="32"/>
          <w:lang w:eastAsia="zh-CN"/>
        </w:rPr>
        <w:t>高校内部质量保障体系建设与评估：</w:t>
      </w:r>
      <w:r>
        <w:rPr>
          <w:sz w:val="32"/>
          <w:szCs w:val="32"/>
          <w:lang w:eastAsia="zh-CN"/>
        </w:rPr>
        <w:t>对标国家质量规范与产教融合要求构建校内闭环质量保障体系</w:t>
      </w:r>
      <w:r>
        <w:rPr>
          <w:rFonts w:hint="eastAsia"/>
          <w:sz w:val="32"/>
          <w:szCs w:val="32"/>
          <w:lang w:eastAsia="zh-CN"/>
        </w:rPr>
        <w:t>，</w:t>
      </w:r>
      <w:r>
        <w:rPr>
          <w:sz w:val="32"/>
          <w:szCs w:val="32"/>
          <w:lang w:eastAsia="zh-CN"/>
        </w:rPr>
        <w:t>审核评估驱动下高校自评自建、常态化自我诊断与持续改进实践案例。</w:t>
      </w:r>
    </w:p>
    <w:p w14:paraId="67B48544">
      <w:pPr>
        <w:keepNext w:val="0"/>
        <w:keepLines w:val="0"/>
        <w:pageBreakBefore w:val="0"/>
        <w:widowControl w:val="0"/>
        <w:kinsoku/>
        <w:wordWrap/>
        <w:overflowPunct/>
        <w:topLinePunct w:val="0"/>
        <w:autoSpaceDE/>
        <w:autoSpaceDN/>
        <w:bidi w:val="0"/>
        <w:adjustRightInd w:val="0"/>
        <w:snapToGrid w:val="0"/>
        <w:spacing w:after="0" w:line="348" w:lineRule="auto"/>
        <w:ind w:firstLine="643" w:firstLineChars="200"/>
        <w:textAlignment w:val="auto"/>
        <w:rPr>
          <w:rFonts w:hint="eastAsia"/>
          <w:sz w:val="32"/>
          <w:szCs w:val="32"/>
          <w:lang w:eastAsia="zh-CN"/>
        </w:rPr>
      </w:pPr>
      <w:r>
        <w:rPr>
          <w:rFonts w:hint="eastAsia" w:ascii="Times New Roman" w:hAnsi="Times New Roman" w:cs="Times New Roman"/>
          <w:b/>
          <w:sz w:val="32"/>
          <w:szCs w:val="32"/>
          <w:lang w:eastAsia="zh-CN"/>
        </w:rPr>
        <w:t>13.</w:t>
      </w:r>
      <w:r>
        <w:rPr>
          <w:b/>
          <w:bCs/>
          <w:sz w:val="32"/>
          <w:szCs w:val="32"/>
          <w:lang w:eastAsia="zh-CN"/>
        </w:rPr>
        <w:t>原创性教材与教学资源建设评价</w:t>
      </w:r>
      <w:r>
        <w:rPr>
          <w:sz w:val="32"/>
          <w:szCs w:val="32"/>
          <w:lang w:eastAsia="zh-CN"/>
        </w:rPr>
        <w:t>：中国原创性教材建设</w:t>
      </w:r>
      <w:r>
        <w:rPr>
          <w:rFonts w:hint="eastAsia"/>
          <w:sz w:val="32"/>
          <w:szCs w:val="32"/>
          <w:lang w:eastAsia="zh-CN"/>
        </w:rPr>
        <w:t>评价</w:t>
      </w:r>
      <w:r>
        <w:rPr>
          <w:sz w:val="32"/>
          <w:szCs w:val="32"/>
          <w:lang w:eastAsia="zh-CN"/>
        </w:rPr>
        <w:t>激励机制构建与试点实践</w:t>
      </w:r>
      <w:r>
        <w:rPr>
          <w:rFonts w:hint="eastAsia"/>
          <w:sz w:val="32"/>
          <w:szCs w:val="32"/>
          <w:lang w:eastAsia="zh-CN"/>
        </w:rPr>
        <w:t>，把原创性教材作为代表性成果纳入</w:t>
      </w:r>
      <w:r>
        <w:rPr>
          <w:sz w:val="32"/>
          <w:szCs w:val="32"/>
          <w:lang w:eastAsia="zh-CN"/>
        </w:rPr>
        <w:t>教师考核评价的机制探索，课程教材资源质量与教材使用动态监测评价，数字教材质量与建设成效评价。</w:t>
      </w:r>
    </w:p>
    <w:p w14:paraId="1369741F">
      <w:pPr>
        <w:keepNext w:val="0"/>
        <w:keepLines w:val="0"/>
        <w:pageBreakBefore w:val="0"/>
        <w:widowControl/>
        <w:kinsoku/>
        <w:wordWrap/>
        <w:overflowPunct/>
        <w:topLinePunct w:val="0"/>
        <w:autoSpaceDE/>
        <w:autoSpaceDN/>
        <w:bidi w:val="0"/>
        <w:adjustRightInd w:val="0"/>
        <w:snapToGrid w:val="0"/>
        <w:spacing w:before="181" w:beforeLines="50" w:after="181" w:afterLines="50" w:line="348" w:lineRule="auto"/>
        <w:ind w:firstLine="640" w:firstLineChars="200"/>
        <w:textAlignment w:val="auto"/>
        <w:rPr>
          <w:rFonts w:hint="eastAsia"/>
          <w:bCs/>
          <w:sz w:val="32"/>
          <w:szCs w:val="32"/>
          <w:lang w:eastAsia="zh-CN"/>
        </w:rPr>
      </w:pPr>
      <w:r>
        <w:rPr>
          <w:rFonts w:ascii="黑体" w:hAnsi="黑体" w:eastAsia="黑体"/>
          <w:bCs/>
          <w:sz w:val="32"/>
          <w:szCs w:val="32"/>
          <w:lang w:eastAsia="zh-CN"/>
        </w:rPr>
        <w:t>三</w:t>
      </w:r>
      <w:r>
        <w:rPr>
          <w:rFonts w:hint="eastAsia" w:ascii="黑体" w:hAnsi="黑体" w:eastAsia="黑体"/>
          <w:bCs/>
          <w:sz w:val="32"/>
          <w:szCs w:val="32"/>
          <w:lang w:eastAsia="zh-CN"/>
        </w:rPr>
        <w:t>、</w:t>
      </w:r>
      <w:r>
        <w:rPr>
          <w:rFonts w:ascii="黑体" w:hAnsi="黑体" w:eastAsia="黑体"/>
          <w:bCs/>
          <w:sz w:val="32"/>
          <w:szCs w:val="32"/>
          <w:lang w:eastAsia="zh-CN"/>
        </w:rPr>
        <w:t>职业教育评价改革</w:t>
      </w:r>
    </w:p>
    <w:p w14:paraId="4F988AC0">
      <w:pPr>
        <w:keepNext w:val="0"/>
        <w:keepLines w:val="0"/>
        <w:pageBreakBefore w:val="0"/>
        <w:kinsoku/>
        <w:wordWrap/>
        <w:overflowPunct/>
        <w:topLinePunct w:val="0"/>
        <w:autoSpaceDE/>
        <w:autoSpaceDN/>
        <w:bidi w:val="0"/>
        <w:adjustRightInd w:val="0"/>
        <w:snapToGrid w:val="0"/>
        <w:spacing w:after="0" w:line="348" w:lineRule="auto"/>
        <w:ind w:firstLine="640" w:firstLineChars="200"/>
        <w:textAlignment w:val="auto"/>
        <w:rPr>
          <w:rFonts w:hint="eastAsia"/>
          <w:sz w:val="32"/>
          <w:szCs w:val="32"/>
          <w:lang w:eastAsia="zh-CN"/>
        </w:rPr>
      </w:pPr>
      <w:r>
        <w:rPr>
          <w:sz w:val="32"/>
          <w:szCs w:val="32"/>
          <w:lang w:eastAsia="zh-CN"/>
        </w:rPr>
        <w:t>围绕“新双高”建设、产教融合、职普融通和技能型人才培养评价，推动现代职业教育高质量发展。</w:t>
      </w:r>
    </w:p>
    <w:p w14:paraId="2A0FB826">
      <w:pPr>
        <w:keepNext w:val="0"/>
        <w:keepLines w:val="0"/>
        <w:pageBreakBefore w:val="0"/>
        <w:kinsoku/>
        <w:wordWrap/>
        <w:overflowPunct/>
        <w:topLinePunct w:val="0"/>
        <w:autoSpaceDE/>
        <w:autoSpaceDN/>
        <w:bidi w:val="0"/>
        <w:adjustRightInd w:val="0"/>
        <w:snapToGrid w:val="0"/>
        <w:spacing w:after="0" w:line="348" w:lineRule="auto"/>
        <w:ind w:firstLine="643" w:firstLineChars="200"/>
        <w:textAlignment w:val="auto"/>
        <w:rPr>
          <w:rFonts w:hint="eastAsia"/>
          <w:sz w:val="32"/>
          <w:szCs w:val="32"/>
          <w:lang w:eastAsia="zh-CN"/>
        </w:rPr>
      </w:pPr>
      <w:r>
        <w:rPr>
          <w:rFonts w:ascii="Times New Roman" w:hAnsi="Times New Roman" w:cs="Times New Roman"/>
          <w:b/>
          <w:sz w:val="32"/>
          <w:szCs w:val="32"/>
          <w:lang w:eastAsia="zh-CN"/>
        </w:rPr>
        <w:t xml:space="preserve">1. </w:t>
      </w:r>
      <w:r>
        <w:rPr>
          <w:b/>
          <w:sz w:val="32"/>
          <w:szCs w:val="32"/>
          <w:lang w:eastAsia="zh-CN"/>
        </w:rPr>
        <w:t>“新双高”</w:t>
      </w:r>
      <w:r>
        <w:rPr>
          <w:rFonts w:hint="eastAsia"/>
          <w:b/>
          <w:sz w:val="32"/>
          <w:szCs w:val="32"/>
          <w:lang w:eastAsia="zh-CN"/>
        </w:rPr>
        <w:t>建设</w:t>
      </w:r>
      <w:r>
        <w:rPr>
          <w:b/>
          <w:sz w:val="32"/>
          <w:szCs w:val="32"/>
          <w:lang w:eastAsia="zh-CN"/>
        </w:rPr>
        <w:t>下现代职业院校高质量发展评价体系：</w:t>
      </w:r>
      <w:r>
        <w:rPr>
          <w:sz w:val="32"/>
          <w:szCs w:val="32"/>
          <w:lang w:eastAsia="zh-CN"/>
        </w:rPr>
        <w:t>“新双高”建设绩效评价</w:t>
      </w:r>
      <w:r>
        <w:rPr>
          <w:rFonts w:hint="eastAsia"/>
          <w:sz w:val="32"/>
          <w:szCs w:val="32"/>
          <w:lang w:eastAsia="zh-CN"/>
        </w:rPr>
        <w:t>与</w:t>
      </w:r>
      <w:r>
        <w:rPr>
          <w:sz w:val="32"/>
          <w:szCs w:val="32"/>
          <w:lang w:eastAsia="zh-CN"/>
        </w:rPr>
        <w:t xml:space="preserve"> “六个度”评价标准体系落地运用</w:t>
      </w:r>
      <w:r>
        <w:rPr>
          <w:rFonts w:hint="eastAsia"/>
          <w:sz w:val="32"/>
          <w:szCs w:val="32"/>
          <w:lang w:eastAsia="zh-CN"/>
        </w:rPr>
        <w:t>，</w:t>
      </w:r>
      <w:r>
        <w:rPr>
          <w:sz w:val="32"/>
          <w:szCs w:val="32"/>
          <w:lang w:eastAsia="zh-CN"/>
        </w:rPr>
        <w:t>职业院校办学能力与专业群建设水平评估</w:t>
      </w:r>
      <w:r>
        <w:rPr>
          <w:rFonts w:hint="eastAsia"/>
          <w:sz w:val="32"/>
          <w:szCs w:val="32"/>
          <w:lang w:eastAsia="zh-CN"/>
        </w:rPr>
        <w:t>，</w:t>
      </w:r>
      <w:r>
        <w:rPr>
          <w:sz w:val="32"/>
          <w:szCs w:val="32"/>
          <w:lang w:eastAsia="zh-CN"/>
        </w:rPr>
        <w:t>专业布局与区域产业发展适配度、支撑度评价。</w:t>
      </w:r>
    </w:p>
    <w:p w14:paraId="38185FD3">
      <w:pPr>
        <w:keepNext w:val="0"/>
        <w:keepLines w:val="0"/>
        <w:pageBreakBefore w:val="0"/>
        <w:kinsoku/>
        <w:wordWrap/>
        <w:overflowPunct/>
        <w:topLinePunct w:val="0"/>
        <w:autoSpaceDE/>
        <w:autoSpaceDN/>
        <w:bidi w:val="0"/>
        <w:adjustRightInd w:val="0"/>
        <w:snapToGrid w:val="0"/>
        <w:spacing w:after="0" w:line="348" w:lineRule="auto"/>
        <w:ind w:firstLine="643" w:firstLineChars="200"/>
        <w:textAlignment w:val="auto"/>
        <w:rPr>
          <w:rFonts w:hint="eastAsia"/>
          <w:sz w:val="32"/>
          <w:szCs w:val="32"/>
          <w:lang w:eastAsia="zh-CN"/>
        </w:rPr>
      </w:pPr>
      <w:r>
        <w:rPr>
          <w:rFonts w:ascii="Times New Roman" w:hAnsi="Times New Roman" w:cs="Times New Roman"/>
          <w:b/>
          <w:sz w:val="32"/>
          <w:szCs w:val="32"/>
          <w:lang w:eastAsia="zh-CN"/>
        </w:rPr>
        <w:t xml:space="preserve">2. </w:t>
      </w:r>
      <w:r>
        <w:rPr>
          <w:b/>
          <w:sz w:val="32"/>
          <w:szCs w:val="32"/>
          <w:lang w:eastAsia="zh-CN"/>
        </w:rPr>
        <w:t>产教融合与校企协同育人质量评价：</w:t>
      </w:r>
      <w:r>
        <w:rPr>
          <w:sz w:val="32"/>
          <w:szCs w:val="32"/>
          <w:lang w:eastAsia="zh-CN"/>
        </w:rPr>
        <w:t>产教融合型企业评价</w:t>
      </w:r>
      <w:r>
        <w:rPr>
          <w:rFonts w:hint="eastAsia"/>
          <w:sz w:val="32"/>
          <w:szCs w:val="32"/>
          <w:lang w:eastAsia="zh-CN"/>
        </w:rPr>
        <w:t>，中国特色</w:t>
      </w:r>
      <w:r>
        <w:rPr>
          <w:sz w:val="32"/>
          <w:szCs w:val="32"/>
          <w:lang w:eastAsia="zh-CN"/>
        </w:rPr>
        <w:t>学徒制培养质量评估</w:t>
      </w:r>
      <w:r>
        <w:rPr>
          <w:rFonts w:hint="eastAsia"/>
          <w:sz w:val="32"/>
          <w:szCs w:val="32"/>
          <w:lang w:eastAsia="zh-CN"/>
        </w:rPr>
        <w:t>，</w:t>
      </w:r>
      <w:r>
        <w:rPr>
          <w:sz w:val="32"/>
          <w:szCs w:val="32"/>
          <w:lang w:eastAsia="zh-CN"/>
        </w:rPr>
        <w:t>行业企业参与职业教育的评价激励</w:t>
      </w:r>
      <w:r>
        <w:rPr>
          <w:rFonts w:hint="eastAsia"/>
          <w:sz w:val="32"/>
          <w:szCs w:val="32"/>
          <w:lang w:eastAsia="zh-CN"/>
        </w:rPr>
        <w:t>机制</w:t>
      </w:r>
      <w:r>
        <w:rPr>
          <w:sz w:val="32"/>
          <w:szCs w:val="32"/>
          <w:lang w:eastAsia="zh-CN"/>
        </w:rPr>
        <w:t>。</w:t>
      </w:r>
    </w:p>
    <w:p w14:paraId="1A20E936">
      <w:pPr>
        <w:keepNext w:val="0"/>
        <w:keepLines w:val="0"/>
        <w:pageBreakBefore w:val="0"/>
        <w:kinsoku/>
        <w:wordWrap/>
        <w:overflowPunct/>
        <w:topLinePunct w:val="0"/>
        <w:autoSpaceDE/>
        <w:autoSpaceDN/>
        <w:bidi w:val="0"/>
        <w:adjustRightInd w:val="0"/>
        <w:snapToGrid w:val="0"/>
        <w:spacing w:after="0" w:line="348" w:lineRule="auto"/>
        <w:ind w:firstLine="643" w:firstLineChars="200"/>
        <w:textAlignment w:val="auto"/>
        <w:rPr>
          <w:rFonts w:hint="eastAsia"/>
          <w:sz w:val="32"/>
          <w:szCs w:val="32"/>
          <w:lang w:eastAsia="zh-CN"/>
        </w:rPr>
      </w:pPr>
      <w:r>
        <w:rPr>
          <w:rFonts w:ascii="Times New Roman" w:hAnsi="Times New Roman" w:cs="Times New Roman"/>
          <w:b/>
          <w:sz w:val="32"/>
          <w:szCs w:val="32"/>
          <w:lang w:eastAsia="zh-CN"/>
        </w:rPr>
        <w:t xml:space="preserve">3. </w:t>
      </w:r>
      <w:r>
        <w:rPr>
          <w:b/>
          <w:sz w:val="32"/>
          <w:szCs w:val="32"/>
          <w:lang w:eastAsia="zh-CN"/>
        </w:rPr>
        <w:t>高技能人才贯通培养与评价改革：</w:t>
      </w:r>
      <w:r>
        <w:rPr>
          <w:sz w:val="32"/>
          <w:szCs w:val="32"/>
          <w:lang w:eastAsia="zh-CN"/>
        </w:rPr>
        <w:t>“高技能人才集群培养计划”实施成效评价</w:t>
      </w:r>
      <w:r>
        <w:rPr>
          <w:rFonts w:hint="eastAsia"/>
          <w:sz w:val="32"/>
          <w:szCs w:val="32"/>
          <w:lang w:eastAsia="zh-CN"/>
        </w:rPr>
        <w:t>，</w:t>
      </w:r>
      <w:r>
        <w:rPr>
          <w:sz w:val="32"/>
          <w:szCs w:val="32"/>
          <w:lang w:eastAsia="zh-CN"/>
        </w:rPr>
        <w:t>中职</w:t>
      </w:r>
      <w:r>
        <w:rPr>
          <w:rFonts w:hint="eastAsia"/>
          <w:sz w:val="32"/>
          <w:szCs w:val="32"/>
          <w:lang w:eastAsia="zh-CN"/>
        </w:rPr>
        <w:t>、</w:t>
      </w:r>
      <w:r>
        <w:rPr>
          <w:sz w:val="32"/>
          <w:szCs w:val="32"/>
          <w:lang w:eastAsia="zh-CN"/>
        </w:rPr>
        <w:t>高职</w:t>
      </w:r>
      <w:r>
        <w:rPr>
          <w:rFonts w:hint="eastAsia"/>
          <w:sz w:val="32"/>
          <w:szCs w:val="32"/>
          <w:lang w:eastAsia="zh-CN"/>
        </w:rPr>
        <w:t>、</w:t>
      </w:r>
      <w:r>
        <w:rPr>
          <w:sz w:val="32"/>
          <w:szCs w:val="32"/>
          <w:lang w:eastAsia="zh-CN"/>
        </w:rPr>
        <w:t>职业本科衔接（贯通）培养质量评估</w:t>
      </w:r>
      <w:r>
        <w:rPr>
          <w:rFonts w:hint="eastAsia"/>
          <w:sz w:val="32"/>
          <w:szCs w:val="32"/>
          <w:lang w:eastAsia="zh-CN"/>
        </w:rPr>
        <w:t>，</w:t>
      </w:r>
      <w:r>
        <w:rPr>
          <w:sz w:val="32"/>
          <w:szCs w:val="32"/>
          <w:lang w:eastAsia="zh-CN"/>
        </w:rPr>
        <w:t>职业技能等级证书与学历证书</w:t>
      </w:r>
      <w:r>
        <w:rPr>
          <w:rFonts w:hint="eastAsia"/>
          <w:sz w:val="32"/>
          <w:szCs w:val="32"/>
          <w:lang w:eastAsia="zh-CN"/>
        </w:rPr>
        <w:t>互认</w:t>
      </w:r>
      <w:r>
        <w:rPr>
          <w:sz w:val="32"/>
          <w:szCs w:val="32"/>
          <w:lang w:eastAsia="zh-CN"/>
        </w:rPr>
        <w:t>融通评价。</w:t>
      </w:r>
    </w:p>
    <w:p w14:paraId="7B9F81FF">
      <w:pPr>
        <w:keepNext w:val="0"/>
        <w:keepLines w:val="0"/>
        <w:pageBreakBefore w:val="0"/>
        <w:widowControl w:val="0"/>
        <w:kinsoku/>
        <w:wordWrap/>
        <w:overflowPunct/>
        <w:topLinePunct w:val="0"/>
        <w:autoSpaceDE/>
        <w:autoSpaceDN/>
        <w:bidi w:val="0"/>
        <w:adjustRightInd w:val="0"/>
        <w:snapToGrid w:val="0"/>
        <w:spacing w:after="0" w:line="348" w:lineRule="auto"/>
        <w:ind w:firstLine="643" w:firstLineChars="200"/>
        <w:textAlignment w:val="auto"/>
        <w:rPr>
          <w:rFonts w:hint="eastAsia"/>
          <w:sz w:val="32"/>
          <w:szCs w:val="32"/>
          <w:lang w:eastAsia="zh-CN"/>
        </w:rPr>
      </w:pPr>
      <w:r>
        <w:rPr>
          <w:rFonts w:ascii="Times New Roman" w:hAnsi="Times New Roman" w:cs="Times New Roman"/>
          <w:b/>
          <w:sz w:val="32"/>
          <w:szCs w:val="32"/>
          <w:lang w:eastAsia="zh-CN"/>
        </w:rPr>
        <w:t xml:space="preserve">4. </w:t>
      </w:r>
      <w:r>
        <w:rPr>
          <w:b/>
          <w:sz w:val="32"/>
          <w:szCs w:val="32"/>
          <w:lang w:eastAsia="zh-CN"/>
        </w:rPr>
        <w:t>职普融通与综合高中建设评价：</w:t>
      </w:r>
      <w:r>
        <w:rPr>
          <w:sz w:val="32"/>
          <w:szCs w:val="32"/>
          <w:lang w:eastAsia="zh-CN"/>
        </w:rPr>
        <w:t>职普学分互认与课程融通评价</w:t>
      </w:r>
      <w:r>
        <w:rPr>
          <w:rFonts w:hint="eastAsia"/>
          <w:sz w:val="32"/>
          <w:szCs w:val="32"/>
          <w:lang w:eastAsia="zh-CN"/>
        </w:rPr>
        <w:t>，</w:t>
      </w:r>
      <w:r>
        <w:rPr>
          <w:sz w:val="32"/>
          <w:szCs w:val="32"/>
          <w:lang w:eastAsia="zh-CN"/>
        </w:rPr>
        <w:t>综合高中办学模式与育人成效评价，高中阶段职普协调发展评价。</w:t>
      </w:r>
    </w:p>
    <w:p w14:paraId="314B1B7C">
      <w:pPr>
        <w:keepNext w:val="0"/>
        <w:keepLines w:val="0"/>
        <w:pageBreakBefore w:val="0"/>
        <w:kinsoku/>
        <w:wordWrap/>
        <w:overflowPunct/>
        <w:topLinePunct w:val="0"/>
        <w:autoSpaceDE/>
        <w:autoSpaceDN/>
        <w:bidi w:val="0"/>
        <w:adjustRightInd w:val="0"/>
        <w:snapToGrid w:val="0"/>
        <w:spacing w:after="0" w:line="348" w:lineRule="auto"/>
        <w:ind w:firstLine="643" w:firstLineChars="200"/>
        <w:textAlignment w:val="auto"/>
        <w:rPr>
          <w:rFonts w:hint="eastAsia"/>
          <w:sz w:val="32"/>
          <w:szCs w:val="32"/>
          <w:lang w:eastAsia="zh-CN"/>
        </w:rPr>
      </w:pPr>
      <w:r>
        <w:rPr>
          <w:rFonts w:ascii="Times New Roman" w:hAnsi="Times New Roman" w:cs="Times New Roman"/>
          <w:b/>
          <w:sz w:val="32"/>
          <w:szCs w:val="32"/>
          <w:lang w:eastAsia="zh-CN"/>
        </w:rPr>
        <w:t xml:space="preserve">5. </w:t>
      </w:r>
      <w:r>
        <w:rPr>
          <w:b/>
          <w:sz w:val="32"/>
          <w:szCs w:val="32"/>
          <w:lang w:eastAsia="zh-CN"/>
        </w:rPr>
        <w:t>职业院校“双师型”教师评价改革：</w:t>
      </w:r>
      <w:r>
        <w:rPr>
          <w:sz w:val="32"/>
          <w:szCs w:val="32"/>
          <w:lang w:eastAsia="zh-CN"/>
        </w:rPr>
        <w:t>“双师型”教师认定与聘任评价</w:t>
      </w:r>
      <w:r>
        <w:rPr>
          <w:rFonts w:hint="eastAsia"/>
          <w:sz w:val="32"/>
          <w:szCs w:val="32"/>
          <w:lang w:eastAsia="zh-CN"/>
        </w:rPr>
        <w:t>，</w:t>
      </w:r>
      <w:r>
        <w:rPr>
          <w:sz w:val="32"/>
          <w:szCs w:val="32"/>
          <w:lang w:eastAsia="zh-CN"/>
        </w:rPr>
        <w:t>教师企业实践成效评价</w:t>
      </w:r>
      <w:r>
        <w:rPr>
          <w:rFonts w:hint="eastAsia"/>
          <w:sz w:val="32"/>
          <w:szCs w:val="32"/>
          <w:lang w:eastAsia="zh-CN"/>
        </w:rPr>
        <w:t>，</w:t>
      </w:r>
      <w:r>
        <w:rPr>
          <w:sz w:val="32"/>
          <w:szCs w:val="32"/>
          <w:lang w:eastAsia="zh-CN"/>
        </w:rPr>
        <w:t>技能大师工作室建设评估。</w:t>
      </w:r>
    </w:p>
    <w:p w14:paraId="296A23AA">
      <w:pPr>
        <w:keepNext w:val="0"/>
        <w:keepLines w:val="0"/>
        <w:pageBreakBefore w:val="0"/>
        <w:widowControl w:val="0"/>
        <w:kinsoku/>
        <w:wordWrap/>
        <w:overflowPunct/>
        <w:topLinePunct w:val="0"/>
        <w:autoSpaceDE/>
        <w:autoSpaceDN/>
        <w:bidi w:val="0"/>
        <w:adjustRightInd w:val="0"/>
        <w:snapToGrid w:val="0"/>
        <w:spacing w:after="0" w:line="348" w:lineRule="auto"/>
        <w:ind w:firstLine="643" w:firstLineChars="200"/>
        <w:textAlignment w:val="auto"/>
        <w:rPr>
          <w:rFonts w:hint="eastAsia"/>
          <w:sz w:val="32"/>
          <w:szCs w:val="32"/>
          <w:lang w:eastAsia="zh-CN"/>
        </w:rPr>
      </w:pPr>
      <w:r>
        <w:rPr>
          <w:rFonts w:ascii="Times New Roman" w:hAnsi="Times New Roman" w:cs="Times New Roman"/>
          <w:b/>
          <w:sz w:val="32"/>
          <w:szCs w:val="32"/>
          <w:lang w:eastAsia="zh-CN"/>
        </w:rPr>
        <w:t xml:space="preserve">6. </w:t>
      </w:r>
      <w:r>
        <w:rPr>
          <w:b/>
          <w:sz w:val="32"/>
          <w:szCs w:val="32"/>
          <w:lang w:eastAsia="zh-CN"/>
        </w:rPr>
        <w:t>职业教育数字化与智能化教学评价：</w:t>
      </w:r>
      <w:r>
        <w:rPr>
          <w:sz w:val="32"/>
          <w:szCs w:val="32"/>
          <w:lang w:eastAsia="zh-CN"/>
        </w:rPr>
        <w:t>数字教材建设质量评价</w:t>
      </w:r>
      <w:r>
        <w:rPr>
          <w:rFonts w:hint="eastAsia"/>
          <w:sz w:val="32"/>
          <w:szCs w:val="32"/>
          <w:lang w:eastAsia="zh-CN"/>
        </w:rPr>
        <w:t>，</w:t>
      </w:r>
      <w:r>
        <w:rPr>
          <w:sz w:val="32"/>
          <w:szCs w:val="32"/>
          <w:lang w:eastAsia="zh-CN"/>
        </w:rPr>
        <w:t>虚拟仿真实训教学成效评估</w:t>
      </w:r>
      <w:r>
        <w:rPr>
          <w:rFonts w:hint="eastAsia"/>
          <w:sz w:val="32"/>
          <w:szCs w:val="32"/>
          <w:lang w:eastAsia="zh-CN"/>
        </w:rPr>
        <w:t>，</w:t>
      </w:r>
      <w:r>
        <w:rPr>
          <w:rFonts w:ascii="Times New Roman" w:hAnsi="Times New Roman" w:cs="Times New Roman"/>
          <w:sz w:val="32"/>
          <w:szCs w:val="32"/>
          <w:lang w:eastAsia="zh-CN"/>
        </w:rPr>
        <w:t>人工智能</w:t>
      </w:r>
      <w:r>
        <w:rPr>
          <w:sz w:val="32"/>
          <w:szCs w:val="32"/>
          <w:lang w:eastAsia="zh-CN"/>
        </w:rPr>
        <w:t>辅助职业技能训练评价。</w:t>
      </w:r>
    </w:p>
    <w:p w14:paraId="67E6EC66">
      <w:pPr>
        <w:keepNext w:val="0"/>
        <w:keepLines w:val="0"/>
        <w:pageBreakBefore w:val="0"/>
        <w:kinsoku/>
        <w:wordWrap/>
        <w:overflowPunct/>
        <w:topLinePunct w:val="0"/>
        <w:autoSpaceDE/>
        <w:autoSpaceDN/>
        <w:bidi w:val="0"/>
        <w:adjustRightInd w:val="0"/>
        <w:snapToGrid w:val="0"/>
        <w:spacing w:after="0" w:line="348" w:lineRule="auto"/>
        <w:ind w:firstLine="643" w:firstLineChars="200"/>
        <w:textAlignment w:val="auto"/>
        <w:rPr>
          <w:rFonts w:hint="eastAsia"/>
          <w:sz w:val="32"/>
          <w:szCs w:val="32"/>
          <w:lang w:eastAsia="zh-CN"/>
        </w:rPr>
      </w:pPr>
      <w:r>
        <w:rPr>
          <w:rFonts w:ascii="Times New Roman" w:hAnsi="Times New Roman" w:cs="Times New Roman"/>
          <w:b/>
          <w:sz w:val="32"/>
          <w:szCs w:val="32"/>
          <w:lang w:eastAsia="zh-CN"/>
        </w:rPr>
        <w:t xml:space="preserve">7. </w:t>
      </w:r>
      <w:r>
        <w:rPr>
          <w:b/>
          <w:sz w:val="32"/>
          <w:szCs w:val="32"/>
          <w:lang w:eastAsia="zh-CN"/>
        </w:rPr>
        <w:t>职业院校学生发展评价改革：</w:t>
      </w:r>
      <w:r>
        <w:rPr>
          <w:sz w:val="32"/>
          <w:szCs w:val="32"/>
          <w:lang w:eastAsia="zh-CN"/>
        </w:rPr>
        <w:t>德技并修导向的职业技能与职业素养综合评价</w:t>
      </w:r>
      <w:r>
        <w:rPr>
          <w:rFonts w:hint="eastAsia"/>
          <w:sz w:val="32"/>
          <w:szCs w:val="32"/>
          <w:lang w:eastAsia="zh-CN"/>
        </w:rPr>
        <w:t>，</w:t>
      </w:r>
      <w:r>
        <w:rPr>
          <w:sz w:val="32"/>
          <w:szCs w:val="32"/>
          <w:lang w:eastAsia="zh-CN"/>
        </w:rPr>
        <w:t>学生实习实训质量监测</w:t>
      </w:r>
      <w:r>
        <w:rPr>
          <w:rFonts w:hint="eastAsia"/>
          <w:sz w:val="32"/>
          <w:szCs w:val="32"/>
          <w:lang w:eastAsia="zh-CN"/>
        </w:rPr>
        <w:t>，</w:t>
      </w:r>
      <w:r>
        <w:rPr>
          <w:sz w:val="32"/>
          <w:szCs w:val="32"/>
          <w:lang w:eastAsia="zh-CN"/>
        </w:rPr>
        <w:t>就业质量与职业发展跟踪评价。</w:t>
      </w:r>
    </w:p>
    <w:p w14:paraId="2107F560">
      <w:pPr>
        <w:keepNext w:val="0"/>
        <w:keepLines w:val="0"/>
        <w:pageBreakBefore w:val="0"/>
        <w:kinsoku/>
        <w:wordWrap/>
        <w:overflowPunct/>
        <w:topLinePunct w:val="0"/>
        <w:autoSpaceDE/>
        <w:autoSpaceDN/>
        <w:bidi w:val="0"/>
        <w:adjustRightInd w:val="0"/>
        <w:snapToGrid w:val="0"/>
        <w:spacing w:after="0" w:line="348" w:lineRule="auto"/>
        <w:ind w:firstLine="643" w:firstLineChars="200"/>
        <w:textAlignment w:val="auto"/>
        <w:rPr>
          <w:rFonts w:hint="eastAsia"/>
          <w:sz w:val="32"/>
          <w:szCs w:val="32"/>
          <w:lang w:eastAsia="zh-CN"/>
        </w:rPr>
      </w:pPr>
      <w:r>
        <w:rPr>
          <w:rFonts w:ascii="Times New Roman" w:hAnsi="Times New Roman" w:cs="Times New Roman"/>
          <w:b/>
          <w:sz w:val="32"/>
          <w:szCs w:val="32"/>
          <w:lang w:eastAsia="zh-CN"/>
        </w:rPr>
        <w:t xml:space="preserve">8. </w:t>
      </w:r>
      <w:r>
        <w:rPr>
          <w:b/>
          <w:sz w:val="32"/>
          <w:szCs w:val="32"/>
          <w:lang w:eastAsia="zh-CN"/>
        </w:rPr>
        <w:t>职业院校服务乡村振兴与区域发展评价：</w:t>
      </w:r>
      <w:r>
        <w:rPr>
          <w:sz w:val="32"/>
          <w:szCs w:val="32"/>
          <w:lang w:eastAsia="zh-CN"/>
        </w:rPr>
        <w:t>职业院校助力乡村振兴成效评价</w:t>
      </w:r>
      <w:r>
        <w:rPr>
          <w:rFonts w:hint="eastAsia"/>
          <w:sz w:val="32"/>
          <w:szCs w:val="32"/>
          <w:lang w:eastAsia="zh-CN"/>
        </w:rPr>
        <w:t>，</w:t>
      </w:r>
      <w:r>
        <w:rPr>
          <w:sz w:val="32"/>
          <w:szCs w:val="32"/>
          <w:lang w:eastAsia="zh-CN"/>
        </w:rPr>
        <w:t>服务县域产业发展与基层技术技能人才供给的贡献度评估。</w:t>
      </w:r>
    </w:p>
    <w:p w14:paraId="495D2211">
      <w:pPr>
        <w:keepNext w:val="0"/>
        <w:keepLines w:val="0"/>
        <w:pageBreakBefore w:val="0"/>
        <w:widowControl/>
        <w:kinsoku/>
        <w:wordWrap/>
        <w:overflowPunct/>
        <w:topLinePunct w:val="0"/>
        <w:autoSpaceDE/>
        <w:autoSpaceDN/>
        <w:bidi w:val="0"/>
        <w:adjustRightInd w:val="0"/>
        <w:snapToGrid w:val="0"/>
        <w:spacing w:before="181" w:beforeLines="50" w:after="181" w:afterLines="50" w:line="348" w:lineRule="auto"/>
        <w:ind w:firstLine="640" w:firstLineChars="200"/>
        <w:textAlignment w:val="auto"/>
        <w:rPr>
          <w:rFonts w:hint="eastAsia"/>
          <w:sz w:val="32"/>
          <w:szCs w:val="32"/>
          <w:lang w:eastAsia="zh-CN"/>
        </w:rPr>
      </w:pPr>
      <w:r>
        <w:rPr>
          <w:rFonts w:ascii="黑体" w:hAnsi="黑体" w:eastAsia="黑体"/>
          <w:bCs/>
          <w:sz w:val="32"/>
          <w:szCs w:val="32"/>
          <w:lang w:eastAsia="zh-CN"/>
        </w:rPr>
        <w:t>四</w:t>
      </w:r>
      <w:r>
        <w:rPr>
          <w:rFonts w:hint="eastAsia" w:ascii="黑体" w:hAnsi="黑体" w:eastAsia="黑体"/>
          <w:bCs/>
          <w:sz w:val="32"/>
          <w:szCs w:val="32"/>
          <w:lang w:eastAsia="zh-CN"/>
        </w:rPr>
        <w:t>、</w:t>
      </w:r>
      <w:r>
        <w:rPr>
          <w:rFonts w:ascii="黑体" w:hAnsi="黑体" w:eastAsia="黑体"/>
          <w:bCs/>
          <w:sz w:val="32"/>
          <w:szCs w:val="32"/>
          <w:lang w:eastAsia="zh-CN"/>
        </w:rPr>
        <w:t>区域教育评价</w:t>
      </w:r>
      <w:bookmarkStart w:id="2" w:name="OLE_LINK2"/>
      <w:r>
        <w:rPr>
          <w:rFonts w:ascii="黑体" w:hAnsi="黑体" w:eastAsia="黑体"/>
          <w:bCs/>
          <w:sz w:val="32"/>
          <w:szCs w:val="32"/>
          <w:lang w:eastAsia="zh-CN"/>
        </w:rPr>
        <w:t>改革</w:t>
      </w:r>
      <w:bookmarkEnd w:id="2"/>
    </w:p>
    <w:p w14:paraId="71A47AE6">
      <w:pPr>
        <w:keepNext w:val="0"/>
        <w:keepLines w:val="0"/>
        <w:pageBreakBefore w:val="0"/>
        <w:kinsoku/>
        <w:wordWrap/>
        <w:overflowPunct/>
        <w:topLinePunct w:val="0"/>
        <w:autoSpaceDE/>
        <w:autoSpaceDN/>
        <w:bidi w:val="0"/>
        <w:adjustRightInd w:val="0"/>
        <w:snapToGrid w:val="0"/>
        <w:spacing w:after="0" w:line="348" w:lineRule="auto"/>
        <w:ind w:firstLine="640" w:firstLineChars="200"/>
        <w:textAlignment w:val="auto"/>
        <w:rPr>
          <w:rFonts w:hint="eastAsia"/>
          <w:sz w:val="32"/>
          <w:szCs w:val="32"/>
          <w:lang w:eastAsia="zh-CN"/>
        </w:rPr>
      </w:pPr>
      <w:r>
        <w:rPr>
          <w:sz w:val="32"/>
          <w:szCs w:val="32"/>
          <w:lang w:eastAsia="zh-CN"/>
        </w:rPr>
        <w:t>聚焦区域教育评价改革的系统设计与实践路径，围绕质量监测、资源配置、</w:t>
      </w:r>
      <w:r>
        <w:rPr>
          <w:rFonts w:hint="eastAsia"/>
          <w:sz w:val="32"/>
          <w:szCs w:val="32"/>
          <w:lang w:eastAsia="zh-CN"/>
        </w:rPr>
        <w:t>区域协同</w:t>
      </w:r>
      <w:r>
        <w:rPr>
          <w:sz w:val="32"/>
          <w:szCs w:val="32"/>
          <w:lang w:eastAsia="zh-CN"/>
        </w:rPr>
        <w:t>和</w:t>
      </w:r>
      <w:r>
        <w:rPr>
          <w:rFonts w:hint="eastAsia"/>
          <w:sz w:val="32"/>
          <w:szCs w:val="32"/>
          <w:lang w:eastAsia="zh-CN"/>
        </w:rPr>
        <w:t>治理</w:t>
      </w:r>
      <w:r>
        <w:rPr>
          <w:sz w:val="32"/>
          <w:szCs w:val="32"/>
          <w:lang w:eastAsia="zh-CN"/>
        </w:rPr>
        <w:t>提升等核心议题系统推进改革</w:t>
      </w:r>
      <w:r>
        <w:rPr>
          <w:rFonts w:ascii="楷体" w:hAnsi="楷体" w:eastAsia="楷体"/>
          <w:sz w:val="32"/>
          <w:szCs w:val="32"/>
          <w:lang w:eastAsia="zh-CN"/>
        </w:rPr>
        <w:t>。</w:t>
      </w:r>
    </w:p>
    <w:p w14:paraId="4E0BCD5A">
      <w:pPr>
        <w:keepNext w:val="0"/>
        <w:keepLines w:val="0"/>
        <w:pageBreakBefore w:val="0"/>
        <w:kinsoku/>
        <w:wordWrap/>
        <w:overflowPunct/>
        <w:topLinePunct w:val="0"/>
        <w:autoSpaceDE/>
        <w:autoSpaceDN/>
        <w:bidi w:val="0"/>
        <w:adjustRightInd w:val="0"/>
        <w:snapToGrid w:val="0"/>
        <w:spacing w:after="0" w:line="348" w:lineRule="auto"/>
        <w:ind w:firstLine="643" w:firstLineChars="200"/>
        <w:textAlignment w:val="auto"/>
        <w:rPr>
          <w:rFonts w:hint="eastAsia"/>
          <w:sz w:val="32"/>
          <w:szCs w:val="32"/>
          <w:lang w:eastAsia="zh-CN"/>
        </w:rPr>
      </w:pPr>
      <w:r>
        <w:rPr>
          <w:rFonts w:hint="eastAsia"/>
          <w:b/>
          <w:sz w:val="32"/>
          <w:szCs w:val="32"/>
          <w:lang w:eastAsia="zh-CN"/>
        </w:rPr>
        <w:t>1.</w:t>
      </w:r>
      <w:r>
        <w:rPr>
          <w:b/>
          <w:sz w:val="32"/>
          <w:szCs w:val="32"/>
          <w:lang w:eastAsia="zh-CN"/>
        </w:rPr>
        <w:t>区域基础教育质量监测与评价体系构建：</w:t>
      </w:r>
      <w:r>
        <w:rPr>
          <w:sz w:val="32"/>
          <w:szCs w:val="32"/>
          <w:lang w:eastAsia="zh-CN"/>
        </w:rPr>
        <w:t>区域</w:t>
      </w:r>
      <w:bookmarkStart w:id="3" w:name="OLE_LINK3"/>
      <w:r>
        <w:rPr>
          <w:rFonts w:hint="eastAsia"/>
          <w:sz w:val="32"/>
          <w:szCs w:val="32"/>
          <w:lang w:eastAsia="zh-CN"/>
        </w:rPr>
        <w:t>基础</w:t>
      </w:r>
      <w:r>
        <w:rPr>
          <w:sz w:val="32"/>
          <w:szCs w:val="32"/>
          <w:lang w:eastAsia="zh-CN"/>
        </w:rPr>
        <w:t>教育质</w:t>
      </w:r>
      <w:bookmarkEnd w:id="3"/>
      <w:r>
        <w:rPr>
          <w:sz w:val="32"/>
          <w:szCs w:val="32"/>
          <w:lang w:eastAsia="zh-CN"/>
        </w:rPr>
        <w:t>量综合监测指标</w:t>
      </w:r>
      <w:r>
        <w:rPr>
          <w:rFonts w:hint="eastAsia"/>
          <w:sz w:val="32"/>
          <w:szCs w:val="32"/>
          <w:lang w:eastAsia="zh-CN"/>
        </w:rPr>
        <w:t>体系构建，</w:t>
      </w:r>
      <w:r>
        <w:rPr>
          <w:sz w:val="32"/>
          <w:szCs w:val="32"/>
          <w:lang w:eastAsia="zh-CN"/>
        </w:rPr>
        <w:t>基于大数据的教育质量监测预警与决策支持</w:t>
      </w:r>
      <w:r>
        <w:rPr>
          <w:rFonts w:hint="eastAsia"/>
          <w:sz w:val="32"/>
          <w:szCs w:val="32"/>
          <w:lang w:eastAsia="zh-CN"/>
        </w:rPr>
        <w:t>机制</w:t>
      </w:r>
      <w:r>
        <w:rPr>
          <w:sz w:val="32"/>
          <w:szCs w:val="32"/>
          <w:lang w:eastAsia="zh-CN"/>
        </w:rPr>
        <w:t>。</w:t>
      </w:r>
    </w:p>
    <w:p w14:paraId="35D1E304">
      <w:pPr>
        <w:keepNext w:val="0"/>
        <w:keepLines w:val="0"/>
        <w:pageBreakBefore w:val="0"/>
        <w:widowControl w:val="0"/>
        <w:kinsoku/>
        <w:wordWrap/>
        <w:overflowPunct/>
        <w:topLinePunct w:val="0"/>
        <w:autoSpaceDE/>
        <w:autoSpaceDN/>
        <w:bidi w:val="0"/>
        <w:adjustRightInd w:val="0"/>
        <w:snapToGrid w:val="0"/>
        <w:spacing w:after="0" w:line="348" w:lineRule="auto"/>
        <w:ind w:firstLine="643" w:firstLineChars="200"/>
        <w:textAlignment w:val="auto"/>
        <w:rPr>
          <w:rFonts w:hint="eastAsia"/>
          <w:sz w:val="32"/>
          <w:szCs w:val="32"/>
          <w:lang w:eastAsia="zh-CN"/>
        </w:rPr>
      </w:pPr>
      <w:r>
        <w:rPr>
          <w:rFonts w:ascii="Times New Roman" w:hAnsi="Times New Roman" w:cs="Times New Roman"/>
          <w:b/>
          <w:sz w:val="32"/>
          <w:szCs w:val="32"/>
          <w:lang w:eastAsia="zh-CN"/>
        </w:rPr>
        <w:t>2.</w:t>
      </w:r>
      <w:r>
        <w:rPr>
          <w:b/>
          <w:sz w:val="32"/>
          <w:szCs w:val="32"/>
          <w:lang w:eastAsia="zh-CN"/>
        </w:rPr>
        <w:t>县域教育高质量发展与教育公平评价：</w:t>
      </w:r>
      <w:r>
        <w:rPr>
          <w:sz w:val="32"/>
          <w:szCs w:val="32"/>
          <w:lang w:eastAsia="zh-CN"/>
        </w:rPr>
        <w:t>县域教育高质量发展指数构建与应用，县域教育资源配置与基本公共教育服务均等化评价，教育公平与乡村教育振兴评价。</w:t>
      </w:r>
    </w:p>
    <w:p w14:paraId="4FFEEAD1">
      <w:pPr>
        <w:keepNext w:val="0"/>
        <w:keepLines w:val="0"/>
        <w:pageBreakBefore w:val="0"/>
        <w:kinsoku/>
        <w:wordWrap/>
        <w:overflowPunct/>
        <w:topLinePunct w:val="0"/>
        <w:autoSpaceDE/>
        <w:autoSpaceDN/>
        <w:bidi w:val="0"/>
        <w:adjustRightInd w:val="0"/>
        <w:snapToGrid w:val="0"/>
        <w:spacing w:after="0" w:line="348" w:lineRule="auto"/>
        <w:ind w:firstLine="643" w:firstLineChars="200"/>
        <w:textAlignment w:val="auto"/>
        <w:rPr>
          <w:rFonts w:hint="eastAsia"/>
          <w:sz w:val="32"/>
          <w:szCs w:val="32"/>
          <w:lang w:eastAsia="zh-CN"/>
        </w:rPr>
      </w:pPr>
      <w:r>
        <w:rPr>
          <w:rFonts w:ascii="Times New Roman" w:hAnsi="Times New Roman" w:cs="Times New Roman"/>
          <w:b/>
          <w:sz w:val="32"/>
          <w:szCs w:val="32"/>
          <w:lang w:eastAsia="zh-CN"/>
        </w:rPr>
        <w:t xml:space="preserve">3. </w:t>
      </w:r>
      <w:r>
        <w:rPr>
          <w:b/>
          <w:sz w:val="32"/>
          <w:szCs w:val="32"/>
          <w:lang w:eastAsia="zh-CN"/>
        </w:rPr>
        <w:t>适应人口变化的区域教育资源配置评价：</w:t>
      </w:r>
      <w:r>
        <w:rPr>
          <w:sz w:val="32"/>
          <w:szCs w:val="32"/>
          <w:lang w:eastAsia="zh-CN"/>
        </w:rPr>
        <w:t>学龄人口变动趋势预测与教育资源动态调配机制</w:t>
      </w:r>
      <w:r>
        <w:rPr>
          <w:rFonts w:hint="eastAsia"/>
          <w:sz w:val="32"/>
          <w:szCs w:val="32"/>
          <w:lang w:eastAsia="zh-CN"/>
        </w:rPr>
        <w:t>，</w:t>
      </w:r>
      <w:r>
        <w:rPr>
          <w:sz w:val="32"/>
          <w:szCs w:val="32"/>
          <w:lang w:eastAsia="zh-CN"/>
        </w:rPr>
        <w:t>学校布局调整与资源优化</w:t>
      </w:r>
      <w:r>
        <w:rPr>
          <w:rFonts w:hint="eastAsia"/>
          <w:sz w:val="32"/>
          <w:szCs w:val="32"/>
          <w:lang w:eastAsia="zh-CN"/>
        </w:rPr>
        <w:t>配置</w:t>
      </w:r>
      <w:r>
        <w:rPr>
          <w:sz w:val="32"/>
          <w:szCs w:val="32"/>
          <w:lang w:eastAsia="zh-CN"/>
        </w:rPr>
        <w:t>评价。</w:t>
      </w:r>
    </w:p>
    <w:p w14:paraId="01833004">
      <w:pPr>
        <w:keepNext w:val="0"/>
        <w:keepLines w:val="0"/>
        <w:pageBreakBefore w:val="0"/>
        <w:widowControl w:val="0"/>
        <w:kinsoku/>
        <w:wordWrap/>
        <w:overflowPunct/>
        <w:topLinePunct w:val="0"/>
        <w:autoSpaceDE/>
        <w:autoSpaceDN/>
        <w:bidi w:val="0"/>
        <w:adjustRightInd w:val="0"/>
        <w:snapToGrid w:val="0"/>
        <w:spacing w:after="0" w:line="348" w:lineRule="auto"/>
        <w:ind w:firstLine="643" w:firstLineChars="200"/>
        <w:textAlignment w:val="auto"/>
        <w:rPr>
          <w:rFonts w:hint="eastAsia"/>
          <w:sz w:val="32"/>
          <w:szCs w:val="32"/>
          <w:lang w:eastAsia="zh-CN"/>
        </w:rPr>
      </w:pPr>
      <w:r>
        <w:rPr>
          <w:rFonts w:ascii="Times New Roman" w:hAnsi="Times New Roman" w:cs="Times New Roman"/>
          <w:b/>
          <w:sz w:val="32"/>
          <w:szCs w:val="32"/>
          <w:lang w:eastAsia="zh-CN"/>
        </w:rPr>
        <w:t xml:space="preserve">4. </w:t>
      </w:r>
      <w:r>
        <w:rPr>
          <w:b/>
          <w:sz w:val="32"/>
          <w:szCs w:val="32"/>
          <w:lang w:eastAsia="zh-CN"/>
        </w:rPr>
        <w:t>试验区建设</w:t>
      </w:r>
      <w:r>
        <w:rPr>
          <w:rFonts w:hint="eastAsia"/>
          <w:b/>
          <w:sz w:val="32"/>
          <w:szCs w:val="32"/>
          <w:lang w:eastAsia="zh-CN"/>
        </w:rPr>
        <w:t>成效评价</w:t>
      </w:r>
      <w:r>
        <w:rPr>
          <w:b/>
          <w:sz w:val="32"/>
          <w:szCs w:val="32"/>
          <w:lang w:eastAsia="zh-CN"/>
        </w:rPr>
        <w:t>：</w:t>
      </w:r>
      <w:r>
        <w:rPr>
          <w:rFonts w:hint="eastAsia"/>
          <w:sz w:val="32"/>
          <w:szCs w:val="32"/>
          <w:lang w:eastAsia="zh-CN"/>
        </w:rPr>
        <w:t>教育评价改革、科学教育、教育综合改革等各类</w:t>
      </w:r>
      <w:r>
        <w:rPr>
          <w:sz w:val="32"/>
          <w:szCs w:val="32"/>
          <w:lang w:eastAsia="zh-CN"/>
        </w:rPr>
        <w:t>教育改革</w:t>
      </w:r>
      <w:r>
        <w:rPr>
          <w:rFonts w:hint="eastAsia"/>
          <w:sz w:val="32"/>
          <w:szCs w:val="32"/>
          <w:lang w:eastAsia="zh-CN"/>
        </w:rPr>
        <w:t>实验区建设及成效评价，</w:t>
      </w:r>
      <w:r>
        <w:rPr>
          <w:sz w:val="32"/>
          <w:szCs w:val="32"/>
          <w:lang w:eastAsia="zh-CN"/>
        </w:rPr>
        <w:t>评价改革政策落地与协同推进机制</w:t>
      </w:r>
      <w:r>
        <w:rPr>
          <w:rFonts w:hint="eastAsia"/>
          <w:sz w:val="32"/>
          <w:szCs w:val="32"/>
          <w:lang w:eastAsia="zh-CN"/>
        </w:rPr>
        <w:t>创新</w:t>
      </w:r>
      <w:r>
        <w:rPr>
          <w:sz w:val="32"/>
          <w:szCs w:val="32"/>
          <w:lang w:eastAsia="zh-CN"/>
        </w:rPr>
        <w:t>。</w:t>
      </w:r>
    </w:p>
    <w:p w14:paraId="20D5C5FF">
      <w:pPr>
        <w:keepNext w:val="0"/>
        <w:keepLines w:val="0"/>
        <w:pageBreakBefore w:val="0"/>
        <w:kinsoku/>
        <w:wordWrap/>
        <w:overflowPunct/>
        <w:topLinePunct w:val="0"/>
        <w:autoSpaceDE/>
        <w:autoSpaceDN/>
        <w:bidi w:val="0"/>
        <w:adjustRightInd w:val="0"/>
        <w:snapToGrid w:val="0"/>
        <w:spacing w:after="0" w:line="348" w:lineRule="auto"/>
        <w:ind w:firstLine="643" w:firstLineChars="200"/>
        <w:textAlignment w:val="auto"/>
        <w:rPr>
          <w:rFonts w:hint="eastAsia"/>
          <w:sz w:val="32"/>
          <w:szCs w:val="32"/>
          <w:lang w:eastAsia="zh-CN"/>
        </w:rPr>
      </w:pPr>
      <w:bookmarkStart w:id="4" w:name="OLE_LINK5"/>
      <w:r>
        <w:rPr>
          <w:rFonts w:ascii="Times New Roman" w:hAnsi="Times New Roman" w:cs="Times New Roman"/>
          <w:b/>
          <w:sz w:val="32"/>
          <w:szCs w:val="32"/>
          <w:lang w:eastAsia="zh-CN"/>
        </w:rPr>
        <w:t>5.区域教育治理能力评价：</w:t>
      </w:r>
      <w:r>
        <w:rPr>
          <w:sz w:val="32"/>
          <w:szCs w:val="32"/>
          <w:lang w:eastAsia="zh-CN"/>
        </w:rPr>
        <w:t>地方党委政府履行教育职责评价机制创新，</w:t>
      </w:r>
      <w:r>
        <w:rPr>
          <w:rFonts w:hint="eastAsia"/>
          <w:sz w:val="32"/>
          <w:szCs w:val="32"/>
          <w:lang w:eastAsia="zh-CN"/>
        </w:rPr>
        <w:t>“</w:t>
      </w:r>
      <w:r>
        <w:rPr>
          <w:sz w:val="32"/>
          <w:szCs w:val="32"/>
          <w:lang w:eastAsia="zh-CN"/>
        </w:rPr>
        <w:t>市县结合</w:t>
      </w:r>
      <w:r>
        <w:rPr>
          <w:rFonts w:hint="eastAsia"/>
          <w:sz w:val="32"/>
          <w:szCs w:val="32"/>
          <w:lang w:eastAsia="zh-CN"/>
        </w:rPr>
        <w:t>”</w:t>
      </w:r>
      <w:r>
        <w:rPr>
          <w:sz w:val="32"/>
          <w:szCs w:val="32"/>
          <w:lang w:eastAsia="zh-CN"/>
        </w:rPr>
        <w:t>基础教育管理体制改革成效评价，教育督导体制机制改革实践评价</w:t>
      </w:r>
      <w:r>
        <w:rPr>
          <w:rFonts w:hint="eastAsia"/>
          <w:sz w:val="32"/>
          <w:szCs w:val="32"/>
          <w:lang w:eastAsia="zh-CN"/>
        </w:rPr>
        <w:t>。</w:t>
      </w:r>
    </w:p>
    <w:p w14:paraId="4419987C">
      <w:pPr>
        <w:keepNext w:val="0"/>
        <w:keepLines w:val="0"/>
        <w:pageBreakBefore w:val="0"/>
        <w:kinsoku/>
        <w:wordWrap/>
        <w:overflowPunct/>
        <w:topLinePunct w:val="0"/>
        <w:autoSpaceDE/>
        <w:autoSpaceDN/>
        <w:bidi w:val="0"/>
        <w:adjustRightInd w:val="0"/>
        <w:snapToGrid w:val="0"/>
        <w:spacing w:after="0" w:line="348" w:lineRule="auto"/>
        <w:ind w:firstLine="643" w:firstLineChars="200"/>
        <w:textAlignment w:val="auto"/>
        <w:rPr>
          <w:rFonts w:ascii="Times New Roman" w:hAnsi="Times New Roman" w:cs="Times New Roman"/>
          <w:b/>
          <w:sz w:val="32"/>
          <w:szCs w:val="32"/>
          <w:lang w:eastAsia="zh-CN"/>
        </w:rPr>
      </w:pPr>
      <w:r>
        <w:rPr>
          <w:rFonts w:hint="default" w:ascii="Times New Roman" w:hAnsi="Times New Roman" w:cs="Times New Roman"/>
          <w:b/>
          <w:sz w:val="32"/>
          <w:szCs w:val="32"/>
          <w:lang w:eastAsia="zh-CN"/>
        </w:rPr>
        <w:t>6.</w:t>
      </w:r>
      <w:r>
        <w:rPr>
          <w:b/>
          <w:sz w:val="32"/>
          <w:szCs w:val="32"/>
          <w:lang w:eastAsia="zh-CN"/>
        </w:rPr>
        <w:t>区域教育现代化监测与评价统筹规范：</w:t>
      </w:r>
      <w:r>
        <w:rPr>
          <w:sz w:val="32"/>
          <w:szCs w:val="32"/>
          <w:lang w:eastAsia="zh-CN"/>
        </w:rPr>
        <w:t>区域教育现代化发展</w:t>
      </w:r>
      <w:r>
        <w:rPr>
          <w:rFonts w:hint="eastAsia"/>
          <w:sz w:val="32"/>
          <w:szCs w:val="32"/>
          <w:lang w:eastAsia="zh-CN"/>
        </w:rPr>
        <w:t>水平</w:t>
      </w:r>
      <w:r>
        <w:rPr>
          <w:sz w:val="32"/>
          <w:szCs w:val="32"/>
          <w:lang w:eastAsia="zh-CN"/>
        </w:rPr>
        <w:t>监测评估体系构建，区域教育评价统筹规范与多元评价减负改革</w:t>
      </w:r>
      <w:r>
        <w:rPr>
          <w:rFonts w:hint="eastAsia"/>
          <w:sz w:val="32"/>
          <w:szCs w:val="32"/>
          <w:lang w:eastAsia="zh-CN"/>
        </w:rPr>
        <w:t>。</w:t>
      </w:r>
    </w:p>
    <w:bookmarkEnd w:id="4"/>
    <w:p w14:paraId="24FBB204">
      <w:pPr>
        <w:keepNext w:val="0"/>
        <w:keepLines w:val="0"/>
        <w:pageBreakBefore w:val="0"/>
        <w:kinsoku/>
        <w:wordWrap/>
        <w:overflowPunct/>
        <w:topLinePunct w:val="0"/>
        <w:autoSpaceDE/>
        <w:autoSpaceDN/>
        <w:bidi w:val="0"/>
        <w:adjustRightInd w:val="0"/>
        <w:snapToGrid w:val="0"/>
        <w:spacing w:after="0" w:line="348" w:lineRule="auto"/>
        <w:ind w:firstLine="643" w:firstLineChars="200"/>
        <w:textAlignment w:val="auto"/>
        <w:rPr>
          <w:rFonts w:hint="eastAsia"/>
          <w:sz w:val="32"/>
          <w:szCs w:val="32"/>
          <w:lang w:eastAsia="zh-CN"/>
        </w:rPr>
      </w:pPr>
      <w:r>
        <w:rPr>
          <w:rFonts w:hint="eastAsia" w:ascii="Times New Roman" w:hAnsi="Times New Roman" w:cs="Times New Roman"/>
          <w:b/>
          <w:sz w:val="32"/>
          <w:szCs w:val="32"/>
          <w:lang w:eastAsia="zh-CN"/>
        </w:rPr>
        <w:t>7</w:t>
      </w:r>
      <w:r>
        <w:rPr>
          <w:rFonts w:ascii="Times New Roman" w:hAnsi="Times New Roman" w:cs="Times New Roman"/>
          <w:b/>
          <w:sz w:val="32"/>
          <w:szCs w:val="32"/>
          <w:lang w:eastAsia="zh-CN"/>
        </w:rPr>
        <w:t>.</w:t>
      </w:r>
      <w:r>
        <w:rPr>
          <w:b/>
          <w:sz w:val="32"/>
          <w:szCs w:val="32"/>
          <w:lang w:eastAsia="zh-CN"/>
        </w:rPr>
        <w:t>长三角、京津冀、粤港澳等区域教育协同评价：</w:t>
      </w:r>
      <w:r>
        <w:rPr>
          <w:sz w:val="32"/>
          <w:szCs w:val="32"/>
          <w:lang w:eastAsia="zh-CN"/>
        </w:rPr>
        <w:t>区域教育一体化监测评估</w:t>
      </w:r>
      <w:r>
        <w:rPr>
          <w:rFonts w:hint="eastAsia"/>
          <w:sz w:val="32"/>
          <w:szCs w:val="32"/>
          <w:lang w:eastAsia="zh-CN"/>
        </w:rPr>
        <w:t>，</w:t>
      </w:r>
      <w:r>
        <w:rPr>
          <w:sz w:val="32"/>
          <w:szCs w:val="32"/>
          <w:lang w:eastAsia="zh-CN"/>
        </w:rPr>
        <w:t>跨区域教育资源共享与质量对标。</w:t>
      </w:r>
    </w:p>
    <w:p w14:paraId="66E900E4">
      <w:pPr>
        <w:keepNext w:val="0"/>
        <w:keepLines w:val="0"/>
        <w:pageBreakBefore w:val="0"/>
        <w:kinsoku/>
        <w:wordWrap/>
        <w:overflowPunct/>
        <w:topLinePunct w:val="0"/>
        <w:autoSpaceDE/>
        <w:autoSpaceDN/>
        <w:bidi w:val="0"/>
        <w:adjustRightInd w:val="0"/>
        <w:snapToGrid w:val="0"/>
        <w:spacing w:after="0" w:line="348" w:lineRule="auto"/>
        <w:ind w:firstLine="643" w:firstLineChars="200"/>
        <w:textAlignment w:val="auto"/>
        <w:rPr>
          <w:rFonts w:hint="eastAsia"/>
          <w:sz w:val="32"/>
          <w:szCs w:val="32"/>
          <w:lang w:eastAsia="zh-CN"/>
        </w:rPr>
      </w:pPr>
      <w:r>
        <w:rPr>
          <w:rFonts w:hint="eastAsia" w:ascii="Times New Roman" w:hAnsi="Times New Roman" w:cs="Times New Roman"/>
          <w:b/>
          <w:sz w:val="32"/>
          <w:szCs w:val="32"/>
          <w:lang w:eastAsia="zh-CN"/>
        </w:rPr>
        <w:t>8</w:t>
      </w:r>
      <w:r>
        <w:rPr>
          <w:rFonts w:ascii="Times New Roman" w:hAnsi="Times New Roman" w:cs="Times New Roman"/>
          <w:b/>
          <w:sz w:val="32"/>
          <w:szCs w:val="32"/>
          <w:lang w:eastAsia="zh-CN"/>
        </w:rPr>
        <w:t xml:space="preserve">. </w:t>
      </w:r>
      <w:r>
        <w:rPr>
          <w:b/>
          <w:sz w:val="32"/>
          <w:szCs w:val="32"/>
          <w:lang w:eastAsia="zh-CN"/>
        </w:rPr>
        <w:t>教育经费投入使用效益与战略性投入机制评价：</w:t>
      </w:r>
      <w:r>
        <w:rPr>
          <w:sz w:val="32"/>
          <w:szCs w:val="32"/>
          <w:lang w:eastAsia="zh-CN"/>
        </w:rPr>
        <w:t>教育经费使用绩效评价</w:t>
      </w:r>
      <w:r>
        <w:rPr>
          <w:rFonts w:hint="eastAsia"/>
          <w:sz w:val="32"/>
          <w:szCs w:val="32"/>
          <w:lang w:eastAsia="zh-CN"/>
        </w:rPr>
        <w:t>，</w:t>
      </w:r>
      <w:r>
        <w:rPr>
          <w:sz w:val="32"/>
          <w:szCs w:val="32"/>
          <w:lang w:eastAsia="zh-CN"/>
        </w:rPr>
        <w:t>教育战略性投入机制建设与成效评估。</w:t>
      </w:r>
    </w:p>
    <w:p w14:paraId="13D428EF">
      <w:pPr>
        <w:keepNext w:val="0"/>
        <w:keepLines w:val="0"/>
        <w:pageBreakBefore w:val="0"/>
        <w:kinsoku/>
        <w:wordWrap/>
        <w:overflowPunct/>
        <w:topLinePunct w:val="0"/>
        <w:autoSpaceDE/>
        <w:autoSpaceDN/>
        <w:bidi w:val="0"/>
        <w:adjustRightInd w:val="0"/>
        <w:snapToGrid w:val="0"/>
        <w:spacing w:after="0" w:line="348" w:lineRule="auto"/>
        <w:ind w:firstLine="643" w:firstLineChars="200"/>
        <w:textAlignment w:val="auto"/>
        <w:rPr>
          <w:rFonts w:hint="eastAsia"/>
          <w:sz w:val="32"/>
          <w:szCs w:val="32"/>
          <w:lang w:eastAsia="zh-CN"/>
        </w:rPr>
      </w:pPr>
      <w:r>
        <w:rPr>
          <w:rFonts w:hint="eastAsia" w:ascii="Times New Roman" w:hAnsi="Times New Roman" w:cs="Times New Roman"/>
          <w:b/>
          <w:sz w:val="32"/>
          <w:szCs w:val="32"/>
          <w:lang w:eastAsia="zh-CN"/>
        </w:rPr>
        <w:t>9</w:t>
      </w:r>
      <w:r>
        <w:rPr>
          <w:rFonts w:ascii="Times New Roman" w:hAnsi="Times New Roman" w:cs="Times New Roman"/>
          <w:b/>
          <w:sz w:val="32"/>
          <w:szCs w:val="32"/>
          <w:lang w:eastAsia="zh-CN"/>
        </w:rPr>
        <w:t xml:space="preserve">. </w:t>
      </w:r>
      <w:r>
        <w:rPr>
          <w:b/>
          <w:sz w:val="32"/>
          <w:szCs w:val="32"/>
          <w:lang w:eastAsia="zh-CN"/>
        </w:rPr>
        <w:t>“教联体”建设与教育生态评价：</w:t>
      </w:r>
      <w:r>
        <w:rPr>
          <w:sz w:val="32"/>
          <w:szCs w:val="32"/>
          <w:lang w:eastAsia="zh-CN"/>
        </w:rPr>
        <w:t>家校社协同育人区域推进</w:t>
      </w:r>
      <w:r>
        <w:rPr>
          <w:rFonts w:hint="eastAsia"/>
          <w:sz w:val="32"/>
          <w:szCs w:val="32"/>
          <w:lang w:eastAsia="zh-CN"/>
        </w:rPr>
        <w:t>效果</w:t>
      </w:r>
      <w:r>
        <w:rPr>
          <w:sz w:val="32"/>
          <w:szCs w:val="32"/>
          <w:lang w:eastAsia="zh-CN"/>
        </w:rPr>
        <w:t>评价</w:t>
      </w:r>
      <w:r>
        <w:rPr>
          <w:rFonts w:hint="eastAsia"/>
          <w:sz w:val="32"/>
          <w:szCs w:val="32"/>
          <w:lang w:eastAsia="zh-CN"/>
        </w:rPr>
        <w:t>，</w:t>
      </w:r>
      <w:r>
        <w:rPr>
          <w:sz w:val="32"/>
          <w:szCs w:val="32"/>
          <w:lang w:eastAsia="zh-CN"/>
        </w:rPr>
        <w:t>社会教育资源整合与利用评估。</w:t>
      </w:r>
    </w:p>
    <w:p w14:paraId="4D332733">
      <w:pPr>
        <w:keepNext w:val="0"/>
        <w:keepLines w:val="0"/>
        <w:pageBreakBefore w:val="0"/>
        <w:widowControl w:val="0"/>
        <w:kinsoku/>
        <w:wordWrap/>
        <w:overflowPunct/>
        <w:topLinePunct w:val="0"/>
        <w:autoSpaceDE/>
        <w:autoSpaceDN/>
        <w:bidi w:val="0"/>
        <w:adjustRightInd w:val="0"/>
        <w:snapToGrid w:val="0"/>
        <w:spacing w:after="0" w:line="348" w:lineRule="auto"/>
        <w:ind w:firstLine="643" w:firstLineChars="200"/>
        <w:textAlignment w:val="auto"/>
        <w:rPr>
          <w:rFonts w:hint="eastAsia"/>
          <w:sz w:val="32"/>
          <w:szCs w:val="32"/>
          <w:lang w:eastAsia="zh-CN"/>
        </w:rPr>
      </w:pPr>
      <w:r>
        <w:rPr>
          <w:rFonts w:hint="eastAsia" w:ascii="Times New Roman" w:hAnsi="Times New Roman" w:cs="Times New Roman"/>
          <w:b/>
          <w:sz w:val="32"/>
          <w:szCs w:val="32"/>
          <w:lang w:eastAsia="zh-CN"/>
        </w:rPr>
        <w:t>10.</w:t>
      </w:r>
      <w:r>
        <w:rPr>
          <w:rFonts w:ascii="Times New Roman" w:hAnsi="Times New Roman" w:cs="Times New Roman"/>
          <w:b/>
          <w:sz w:val="32"/>
          <w:szCs w:val="32"/>
          <w:lang w:eastAsia="zh-CN"/>
        </w:rPr>
        <w:t>中国参与全球教育治理的贡献度评价：</w:t>
      </w:r>
      <w:r>
        <w:rPr>
          <w:sz w:val="32"/>
          <w:szCs w:val="32"/>
          <w:lang w:eastAsia="zh-CN"/>
        </w:rPr>
        <w:t>中国教育国际影响力评价，多边教育治理参与贡献评价，彰显中国特色、体现世界水平的教育评价体系建设成效评价，构建面向国际对话的中国教育评价范式与“中国方案”。</w:t>
      </w:r>
    </w:p>
    <w:p w14:paraId="3E73A938">
      <w:pPr>
        <w:keepNext w:val="0"/>
        <w:keepLines w:val="0"/>
        <w:pageBreakBefore w:val="0"/>
        <w:widowControl/>
        <w:kinsoku/>
        <w:wordWrap/>
        <w:overflowPunct/>
        <w:topLinePunct w:val="0"/>
        <w:autoSpaceDE/>
        <w:autoSpaceDN/>
        <w:bidi w:val="0"/>
        <w:adjustRightInd w:val="0"/>
        <w:snapToGrid w:val="0"/>
        <w:spacing w:before="181" w:beforeLines="50" w:after="181" w:afterLines="50" w:line="348" w:lineRule="auto"/>
        <w:ind w:firstLine="640" w:firstLineChars="200"/>
        <w:textAlignment w:val="auto"/>
        <w:rPr>
          <w:rFonts w:hint="eastAsia"/>
          <w:bCs/>
          <w:sz w:val="32"/>
          <w:szCs w:val="32"/>
          <w:lang w:eastAsia="zh-CN"/>
        </w:rPr>
      </w:pPr>
      <w:r>
        <w:rPr>
          <w:rFonts w:ascii="黑体" w:hAnsi="黑体" w:eastAsia="黑体"/>
          <w:bCs/>
          <w:sz w:val="32"/>
          <w:szCs w:val="32"/>
          <w:lang w:eastAsia="zh-CN"/>
        </w:rPr>
        <w:t>五</w:t>
      </w:r>
      <w:r>
        <w:rPr>
          <w:rFonts w:hint="eastAsia" w:ascii="黑体" w:hAnsi="黑体" w:eastAsia="黑体"/>
          <w:bCs/>
          <w:sz w:val="32"/>
          <w:szCs w:val="32"/>
          <w:lang w:eastAsia="zh-CN"/>
        </w:rPr>
        <w:t>、</w:t>
      </w:r>
      <w:r>
        <w:rPr>
          <w:rFonts w:ascii="黑体" w:hAnsi="黑体" w:eastAsia="黑体"/>
          <w:bCs/>
          <w:sz w:val="32"/>
          <w:szCs w:val="32"/>
          <w:lang w:eastAsia="zh-CN"/>
        </w:rPr>
        <w:t>人工智能</w:t>
      </w:r>
      <w:r>
        <w:rPr>
          <w:rFonts w:hint="eastAsia" w:ascii="黑体" w:hAnsi="黑体" w:eastAsia="黑体"/>
          <w:bCs/>
          <w:sz w:val="32"/>
          <w:szCs w:val="32"/>
          <w:lang w:eastAsia="zh-CN"/>
        </w:rPr>
        <w:t>赋能教育</w:t>
      </w:r>
      <w:r>
        <w:rPr>
          <w:rFonts w:ascii="黑体" w:hAnsi="黑体" w:eastAsia="黑体"/>
          <w:bCs/>
          <w:sz w:val="32"/>
          <w:szCs w:val="32"/>
          <w:lang w:eastAsia="zh-CN"/>
        </w:rPr>
        <w:t>评价改革</w:t>
      </w:r>
    </w:p>
    <w:p w14:paraId="762F8D13">
      <w:pPr>
        <w:keepNext w:val="0"/>
        <w:keepLines w:val="0"/>
        <w:pageBreakBefore w:val="0"/>
        <w:kinsoku/>
        <w:wordWrap/>
        <w:overflowPunct/>
        <w:topLinePunct w:val="0"/>
        <w:autoSpaceDE/>
        <w:autoSpaceDN/>
        <w:bidi w:val="0"/>
        <w:adjustRightInd w:val="0"/>
        <w:snapToGrid w:val="0"/>
        <w:spacing w:after="0" w:line="348" w:lineRule="auto"/>
        <w:ind w:firstLine="640" w:firstLineChars="200"/>
        <w:textAlignment w:val="auto"/>
        <w:rPr>
          <w:rFonts w:hint="eastAsia"/>
          <w:sz w:val="32"/>
          <w:szCs w:val="32"/>
          <w:lang w:eastAsia="zh-CN"/>
        </w:rPr>
      </w:pPr>
      <w:r>
        <w:rPr>
          <w:sz w:val="32"/>
          <w:szCs w:val="32"/>
          <w:lang w:eastAsia="zh-CN"/>
        </w:rPr>
        <w:t>紧扣教育部等五部门《“人工智能+教育”行动计划》，聚焦人工智能赋能教育评价</w:t>
      </w:r>
      <w:r>
        <w:rPr>
          <w:rFonts w:hint="eastAsia"/>
          <w:sz w:val="32"/>
          <w:szCs w:val="32"/>
          <w:lang w:eastAsia="zh-CN"/>
        </w:rPr>
        <w:t>改革</w:t>
      </w:r>
      <w:r>
        <w:rPr>
          <w:sz w:val="32"/>
          <w:szCs w:val="32"/>
          <w:lang w:eastAsia="zh-CN"/>
        </w:rPr>
        <w:t>创新、</w:t>
      </w:r>
      <w:r>
        <w:rPr>
          <w:rFonts w:hint="eastAsia"/>
          <w:sz w:val="32"/>
          <w:szCs w:val="32"/>
          <w:lang w:eastAsia="zh-CN"/>
        </w:rPr>
        <w:t>人工智能教育的实施与应用成效评价</w:t>
      </w:r>
      <w:r>
        <w:rPr>
          <w:sz w:val="32"/>
          <w:szCs w:val="32"/>
          <w:lang w:eastAsia="zh-CN"/>
        </w:rPr>
        <w:t>。</w:t>
      </w:r>
    </w:p>
    <w:p w14:paraId="194419E6">
      <w:pPr>
        <w:keepNext w:val="0"/>
        <w:keepLines w:val="0"/>
        <w:pageBreakBefore w:val="0"/>
        <w:kinsoku/>
        <w:wordWrap/>
        <w:overflowPunct/>
        <w:topLinePunct w:val="0"/>
        <w:autoSpaceDE/>
        <w:autoSpaceDN/>
        <w:bidi w:val="0"/>
        <w:adjustRightInd w:val="0"/>
        <w:snapToGrid w:val="0"/>
        <w:spacing w:after="0" w:line="348" w:lineRule="auto"/>
        <w:ind w:firstLine="643" w:firstLineChars="200"/>
        <w:textAlignment w:val="auto"/>
        <w:rPr>
          <w:rFonts w:hint="eastAsia"/>
          <w:sz w:val="32"/>
          <w:szCs w:val="32"/>
          <w:lang w:eastAsia="zh-CN"/>
        </w:rPr>
      </w:pPr>
      <w:r>
        <w:rPr>
          <w:rFonts w:ascii="Times New Roman" w:hAnsi="Times New Roman" w:cs="Times New Roman"/>
          <w:b/>
          <w:sz w:val="32"/>
          <w:szCs w:val="32"/>
          <w:lang w:eastAsia="zh-CN"/>
        </w:rPr>
        <w:t xml:space="preserve">1. </w:t>
      </w:r>
      <w:r>
        <w:rPr>
          <w:rFonts w:hint="eastAsia" w:ascii="Times New Roman" w:hAnsi="Times New Roman" w:cs="Times New Roman"/>
          <w:b/>
          <w:sz w:val="32"/>
          <w:szCs w:val="32"/>
          <w:lang w:eastAsia="zh-CN"/>
        </w:rPr>
        <w:t>人工智能</w:t>
      </w:r>
      <w:r>
        <w:rPr>
          <w:b/>
          <w:sz w:val="32"/>
          <w:szCs w:val="32"/>
          <w:lang w:eastAsia="zh-CN"/>
        </w:rPr>
        <w:t>赋能教育评价的理论框架与路径创新：</w:t>
      </w:r>
      <w:r>
        <w:rPr>
          <w:sz w:val="32"/>
          <w:szCs w:val="32"/>
          <w:lang w:eastAsia="zh-CN"/>
        </w:rPr>
        <w:t>人工智能赋能教育评价的</w:t>
      </w:r>
      <w:r>
        <w:rPr>
          <w:rFonts w:hint="eastAsia"/>
          <w:sz w:val="32"/>
          <w:szCs w:val="32"/>
          <w:lang w:eastAsia="zh-CN"/>
        </w:rPr>
        <w:t>内在</w:t>
      </w:r>
      <w:r>
        <w:rPr>
          <w:sz w:val="32"/>
          <w:szCs w:val="32"/>
          <w:lang w:eastAsia="zh-CN"/>
        </w:rPr>
        <w:t>逻辑、技术架构与实施路径探索。</w:t>
      </w:r>
    </w:p>
    <w:p w14:paraId="64A25A1B">
      <w:pPr>
        <w:keepNext w:val="0"/>
        <w:keepLines w:val="0"/>
        <w:pageBreakBefore w:val="0"/>
        <w:kinsoku/>
        <w:wordWrap/>
        <w:overflowPunct/>
        <w:topLinePunct w:val="0"/>
        <w:autoSpaceDE/>
        <w:autoSpaceDN/>
        <w:bidi w:val="0"/>
        <w:adjustRightInd w:val="0"/>
        <w:snapToGrid w:val="0"/>
        <w:spacing w:after="0" w:line="348" w:lineRule="auto"/>
        <w:ind w:firstLine="643" w:firstLineChars="200"/>
        <w:textAlignment w:val="auto"/>
        <w:rPr>
          <w:rFonts w:hint="eastAsia"/>
          <w:sz w:val="32"/>
          <w:szCs w:val="32"/>
          <w:lang w:eastAsia="zh-CN"/>
        </w:rPr>
      </w:pPr>
      <w:r>
        <w:rPr>
          <w:rFonts w:ascii="Times New Roman" w:hAnsi="Times New Roman" w:cs="Times New Roman"/>
          <w:b/>
          <w:sz w:val="32"/>
          <w:szCs w:val="32"/>
          <w:lang w:eastAsia="zh-CN"/>
        </w:rPr>
        <w:t xml:space="preserve">2. </w:t>
      </w:r>
      <w:r>
        <w:rPr>
          <w:b/>
          <w:sz w:val="32"/>
          <w:szCs w:val="32"/>
          <w:lang w:eastAsia="zh-CN"/>
        </w:rPr>
        <w:t>基于大模型的教育评价智能化工具研发：</w:t>
      </w:r>
      <w:r>
        <w:rPr>
          <w:rFonts w:ascii="Times New Roman" w:hAnsi="Times New Roman" w:cs="Times New Roman"/>
          <w:sz w:val="32"/>
          <w:szCs w:val="32"/>
          <w:lang w:eastAsia="zh-CN"/>
        </w:rPr>
        <w:t>人工智能赋能的教师课堂教学能力诊断测评</w:t>
      </w:r>
      <w:r>
        <w:rPr>
          <w:sz w:val="32"/>
          <w:szCs w:val="32"/>
          <w:lang w:eastAsia="zh-CN"/>
        </w:rPr>
        <w:t>，智能命题与阅卷系统</w:t>
      </w:r>
      <w:r>
        <w:rPr>
          <w:rFonts w:hint="eastAsia"/>
          <w:sz w:val="32"/>
          <w:szCs w:val="32"/>
          <w:lang w:eastAsia="zh-CN"/>
        </w:rPr>
        <w:t>，</w:t>
      </w:r>
      <w:r>
        <w:rPr>
          <w:sz w:val="32"/>
          <w:szCs w:val="32"/>
          <w:lang w:eastAsia="zh-CN"/>
        </w:rPr>
        <w:t>学业质量智能诊断与精准反馈</w:t>
      </w:r>
      <w:r>
        <w:rPr>
          <w:rFonts w:hint="eastAsia"/>
          <w:sz w:val="32"/>
          <w:szCs w:val="32"/>
          <w:lang w:eastAsia="zh-CN"/>
        </w:rPr>
        <w:t>，</w:t>
      </w:r>
      <w:r>
        <w:rPr>
          <w:sz w:val="32"/>
          <w:szCs w:val="32"/>
          <w:lang w:eastAsia="zh-CN"/>
        </w:rPr>
        <w:t>学生发展智能画像与</w:t>
      </w:r>
      <w:r>
        <w:rPr>
          <w:rFonts w:hint="eastAsia"/>
          <w:sz w:val="32"/>
          <w:szCs w:val="32"/>
          <w:lang w:eastAsia="zh-CN"/>
        </w:rPr>
        <w:t>预警，</w:t>
      </w:r>
      <w:r>
        <w:rPr>
          <w:sz w:val="32"/>
          <w:szCs w:val="32"/>
          <w:lang w:eastAsia="zh-CN"/>
        </w:rPr>
        <w:t>核心素养</w:t>
      </w:r>
      <w:r>
        <w:rPr>
          <w:rFonts w:hint="eastAsia"/>
          <w:sz w:val="32"/>
          <w:szCs w:val="32"/>
          <w:lang w:eastAsia="zh-CN"/>
        </w:rPr>
        <w:t>智能化</w:t>
      </w:r>
      <w:r>
        <w:rPr>
          <w:sz w:val="32"/>
          <w:szCs w:val="32"/>
          <w:lang w:eastAsia="zh-CN"/>
        </w:rPr>
        <w:t>测评工具开发。</w:t>
      </w:r>
    </w:p>
    <w:p w14:paraId="43679793">
      <w:pPr>
        <w:keepNext w:val="0"/>
        <w:keepLines w:val="0"/>
        <w:pageBreakBefore w:val="0"/>
        <w:kinsoku/>
        <w:wordWrap/>
        <w:overflowPunct/>
        <w:topLinePunct w:val="0"/>
        <w:autoSpaceDE/>
        <w:autoSpaceDN/>
        <w:bidi w:val="0"/>
        <w:adjustRightInd w:val="0"/>
        <w:snapToGrid w:val="0"/>
        <w:spacing w:after="0" w:line="348" w:lineRule="auto"/>
        <w:ind w:firstLine="643" w:firstLineChars="200"/>
        <w:textAlignment w:val="auto"/>
        <w:rPr>
          <w:rFonts w:hint="eastAsia"/>
          <w:sz w:val="32"/>
          <w:szCs w:val="32"/>
          <w:lang w:eastAsia="zh-CN"/>
        </w:rPr>
      </w:pPr>
      <w:r>
        <w:rPr>
          <w:rFonts w:ascii="Times New Roman" w:hAnsi="Times New Roman" w:cs="Times New Roman"/>
          <w:b/>
          <w:sz w:val="32"/>
          <w:szCs w:val="32"/>
          <w:lang w:eastAsia="zh-CN"/>
        </w:rPr>
        <w:t xml:space="preserve">3. </w:t>
      </w:r>
      <w:r>
        <w:rPr>
          <w:b/>
          <w:sz w:val="32"/>
          <w:szCs w:val="32"/>
          <w:lang w:eastAsia="zh-CN"/>
        </w:rPr>
        <w:t>学生学习全过程纵向评价的</w:t>
      </w:r>
      <w:r>
        <w:rPr>
          <w:rFonts w:ascii="Times New Roman" w:hAnsi="Times New Roman" w:cs="Times New Roman"/>
          <w:b/>
          <w:sz w:val="32"/>
          <w:szCs w:val="32"/>
          <w:lang w:eastAsia="zh-CN"/>
        </w:rPr>
        <w:t>人工智能</w:t>
      </w:r>
      <w:r>
        <w:rPr>
          <w:b/>
          <w:sz w:val="32"/>
          <w:szCs w:val="32"/>
          <w:lang w:eastAsia="zh-CN"/>
        </w:rPr>
        <w:t>实现：</w:t>
      </w:r>
      <w:r>
        <w:rPr>
          <w:sz w:val="32"/>
          <w:szCs w:val="32"/>
          <w:lang w:eastAsia="zh-CN"/>
        </w:rPr>
        <w:t>基于学习行为数据的学情智能诊断</w:t>
      </w:r>
      <w:r>
        <w:rPr>
          <w:rFonts w:hint="eastAsia"/>
          <w:sz w:val="32"/>
          <w:szCs w:val="32"/>
          <w:lang w:eastAsia="zh-CN"/>
        </w:rPr>
        <w:t>，</w:t>
      </w:r>
      <w:r>
        <w:rPr>
          <w:sz w:val="32"/>
          <w:szCs w:val="32"/>
          <w:lang w:eastAsia="zh-CN"/>
        </w:rPr>
        <w:t>自适应学习评价与个性化学习路径推荐。</w:t>
      </w:r>
    </w:p>
    <w:p w14:paraId="782EAD1A">
      <w:pPr>
        <w:keepNext w:val="0"/>
        <w:keepLines w:val="0"/>
        <w:pageBreakBefore w:val="0"/>
        <w:kinsoku/>
        <w:wordWrap/>
        <w:overflowPunct/>
        <w:topLinePunct w:val="0"/>
        <w:autoSpaceDE/>
        <w:autoSpaceDN/>
        <w:bidi w:val="0"/>
        <w:adjustRightInd w:val="0"/>
        <w:snapToGrid w:val="0"/>
        <w:spacing w:after="0" w:line="348" w:lineRule="auto"/>
        <w:ind w:firstLine="643" w:firstLineChars="200"/>
        <w:textAlignment w:val="auto"/>
        <w:rPr>
          <w:rFonts w:hint="eastAsia"/>
          <w:sz w:val="32"/>
          <w:szCs w:val="32"/>
          <w:lang w:eastAsia="zh-CN"/>
        </w:rPr>
      </w:pPr>
      <w:r>
        <w:rPr>
          <w:rFonts w:ascii="Times New Roman" w:hAnsi="Times New Roman" w:cs="Times New Roman"/>
          <w:b/>
          <w:sz w:val="32"/>
          <w:szCs w:val="32"/>
          <w:lang w:eastAsia="zh-CN"/>
        </w:rPr>
        <w:t xml:space="preserve">4. </w:t>
      </w:r>
      <w:r>
        <w:rPr>
          <w:b/>
          <w:sz w:val="32"/>
          <w:szCs w:val="32"/>
          <w:lang w:eastAsia="zh-CN"/>
        </w:rPr>
        <w:t>德智体美劳全要素横向评价的数字化实践：</w:t>
      </w:r>
      <w:r>
        <w:rPr>
          <w:sz w:val="32"/>
          <w:szCs w:val="32"/>
          <w:lang w:eastAsia="zh-CN"/>
        </w:rPr>
        <w:t>人工智能支持的学生综合素质评价数据采集与融合</w:t>
      </w:r>
      <w:r>
        <w:rPr>
          <w:rFonts w:hint="eastAsia"/>
          <w:sz w:val="32"/>
          <w:szCs w:val="32"/>
          <w:lang w:eastAsia="zh-CN"/>
        </w:rPr>
        <w:t>，</w:t>
      </w:r>
      <w:r>
        <w:rPr>
          <w:sz w:val="32"/>
          <w:szCs w:val="32"/>
          <w:lang w:eastAsia="zh-CN"/>
        </w:rPr>
        <w:t>多模态评价数据分析与可视化。</w:t>
      </w:r>
    </w:p>
    <w:p w14:paraId="31B3C252">
      <w:pPr>
        <w:keepNext w:val="0"/>
        <w:keepLines w:val="0"/>
        <w:pageBreakBefore w:val="0"/>
        <w:kinsoku/>
        <w:wordWrap/>
        <w:overflowPunct/>
        <w:topLinePunct w:val="0"/>
        <w:autoSpaceDE/>
        <w:autoSpaceDN/>
        <w:bidi w:val="0"/>
        <w:adjustRightInd w:val="0"/>
        <w:snapToGrid w:val="0"/>
        <w:spacing w:after="0" w:line="348" w:lineRule="auto"/>
        <w:ind w:firstLine="643" w:firstLineChars="200"/>
        <w:textAlignment w:val="auto"/>
        <w:rPr>
          <w:rFonts w:hint="eastAsia"/>
          <w:sz w:val="32"/>
          <w:szCs w:val="32"/>
          <w:lang w:eastAsia="zh-CN"/>
        </w:rPr>
      </w:pPr>
      <w:r>
        <w:rPr>
          <w:rFonts w:ascii="Times New Roman" w:hAnsi="Times New Roman" w:cs="Times New Roman"/>
          <w:b/>
          <w:sz w:val="32"/>
          <w:szCs w:val="32"/>
          <w:lang w:eastAsia="zh-CN"/>
        </w:rPr>
        <w:t>5. 人工智能</w:t>
      </w:r>
      <w:r>
        <w:rPr>
          <w:b/>
          <w:sz w:val="32"/>
          <w:szCs w:val="32"/>
          <w:lang w:eastAsia="zh-CN"/>
        </w:rPr>
        <w:t>赋能课堂教学评价与教研创新：</w:t>
      </w:r>
      <w:r>
        <w:rPr>
          <w:sz w:val="32"/>
          <w:szCs w:val="32"/>
          <w:lang w:eastAsia="zh-CN"/>
        </w:rPr>
        <w:t>课堂</w:t>
      </w:r>
      <w:r>
        <w:rPr>
          <w:rFonts w:hint="eastAsia"/>
          <w:sz w:val="32"/>
          <w:szCs w:val="32"/>
          <w:lang w:eastAsia="zh-CN"/>
        </w:rPr>
        <w:t>师生互动</w:t>
      </w:r>
      <w:r>
        <w:rPr>
          <w:sz w:val="32"/>
          <w:szCs w:val="32"/>
          <w:lang w:eastAsia="zh-CN"/>
        </w:rPr>
        <w:t>行为智能分析</w:t>
      </w:r>
      <w:r>
        <w:rPr>
          <w:rFonts w:hint="eastAsia"/>
          <w:sz w:val="32"/>
          <w:szCs w:val="32"/>
          <w:lang w:eastAsia="zh-CN"/>
        </w:rPr>
        <w:t>，</w:t>
      </w:r>
      <w:r>
        <w:rPr>
          <w:sz w:val="32"/>
          <w:szCs w:val="32"/>
          <w:lang w:eastAsia="zh-CN"/>
        </w:rPr>
        <w:t>教学效果</w:t>
      </w:r>
      <w:r>
        <w:rPr>
          <w:rFonts w:hint="eastAsia"/>
          <w:sz w:val="32"/>
          <w:szCs w:val="32"/>
          <w:lang w:eastAsia="zh-CN"/>
        </w:rPr>
        <w:t>智能</w:t>
      </w:r>
      <w:r>
        <w:rPr>
          <w:sz w:val="32"/>
          <w:szCs w:val="32"/>
          <w:lang w:eastAsia="zh-CN"/>
        </w:rPr>
        <w:t>评估</w:t>
      </w:r>
      <w:r>
        <w:rPr>
          <w:rFonts w:hint="eastAsia"/>
          <w:sz w:val="32"/>
          <w:szCs w:val="32"/>
          <w:lang w:eastAsia="zh-CN"/>
        </w:rPr>
        <w:t>，</w:t>
      </w:r>
      <w:r>
        <w:rPr>
          <w:sz w:val="32"/>
          <w:szCs w:val="32"/>
          <w:lang w:eastAsia="zh-CN"/>
        </w:rPr>
        <w:t>人工智能辅助教师专业发展评价。</w:t>
      </w:r>
    </w:p>
    <w:p w14:paraId="583291A3">
      <w:pPr>
        <w:keepNext w:val="0"/>
        <w:keepLines w:val="0"/>
        <w:pageBreakBefore w:val="0"/>
        <w:widowControl w:val="0"/>
        <w:kinsoku/>
        <w:wordWrap/>
        <w:overflowPunct/>
        <w:topLinePunct w:val="0"/>
        <w:autoSpaceDE/>
        <w:autoSpaceDN/>
        <w:bidi w:val="0"/>
        <w:adjustRightInd w:val="0"/>
        <w:snapToGrid w:val="0"/>
        <w:spacing w:after="0" w:line="348" w:lineRule="auto"/>
        <w:ind w:firstLine="643" w:firstLineChars="200"/>
        <w:textAlignment w:val="auto"/>
        <w:rPr>
          <w:rFonts w:hint="eastAsia"/>
          <w:sz w:val="32"/>
          <w:szCs w:val="32"/>
          <w:lang w:eastAsia="zh-CN"/>
        </w:rPr>
      </w:pPr>
      <w:r>
        <w:rPr>
          <w:rFonts w:ascii="Times New Roman" w:hAnsi="Times New Roman" w:cs="Times New Roman"/>
          <w:b/>
          <w:sz w:val="32"/>
          <w:szCs w:val="32"/>
          <w:lang w:eastAsia="zh-CN"/>
        </w:rPr>
        <w:t>6.</w:t>
      </w:r>
      <w:r>
        <w:rPr>
          <w:b/>
          <w:bCs/>
          <w:sz w:val="32"/>
          <w:szCs w:val="32"/>
          <w:lang w:eastAsia="zh-CN"/>
        </w:rPr>
        <w:t>中小学人工智能素养评价</w:t>
      </w:r>
      <w:r>
        <w:rPr>
          <w:sz w:val="32"/>
          <w:szCs w:val="32"/>
          <w:lang w:eastAsia="zh-CN"/>
        </w:rPr>
        <w:t>：围绕</w:t>
      </w:r>
      <w:r>
        <w:rPr>
          <w:rFonts w:hint="eastAsia"/>
          <w:sz w:val="32"/>
          <w:szCs w:val="32"/>
          <w:lang w:eastAsia="zh-CN"/>
        </w:rPr>
        <w:t>“</w:t>
      </w:r>
      <w:r>
        <w:rPr>
          <w:sz w:val="32"/>
          <w:szCs w:val="32"/>
          <w:lang w:eastAsia="zh-CN"/>
        </w:rPr>
        <w:t>知识—技能—思维—价值观</w:t>
      </w:r>
      <w:r>
        <w:rPr>
          <w:rFonts w:hint="eastAsia"/>
          <w:sz w:val="32"/>
          <w:szCs w:val="32"/>
          <w:lang w:eastAsia="zh-CN"/>
        </w:rPr>
        <w:t>”</w:t>
      </w:r>
      <w:r>
        <w:rPr>
          <w:sz w:val="32"/>
          <w:szCs w:val="32"/>
          <w:lang w:eastAsia="zh-CN"/>
        </w:rPr>
        <w:t>四个维度的学生人工智能素养框架设计与测评工具开发</w:t>
      </w:r>
      <w:r>
        <w:rPr>
          <w:rFonts w:hint="eastAsia"/>
          <w:sz w:val="32"/>
          <w:szCs w:val="32"/>
          <w:lang w:eastAsia="zh-CN"/>
        </w:rPr>
        <w:t>，</w:t>
      </w:r>
      <w:r>
        <w:rPr>
          <w:rFonts w:ascii="Times New Roman" w:hAnsi="Times New Roman" w:cs="Times New Roman"/>
          <w:sz w:val="32"/>
          <w:szCs w:val="32"/>
          <w:lang w:eastAsia="zh-CN"/>
        </w:rPr>
        <w:t>人工智能</w:t>
      </w:r>
      <w:r>
        <w:rPr>
          <w:sz w:val="32"/>
          <w:szCs w:val="32"/>
          <w:lang w:eastAsia="zh-CN"/>
        </w:rPr>
        <w:t>通识教育实施成效评价。</w:t>
      </w:r>
    </w:p>
    <w:p w14:paraId="270A0FDB">
      <w:pPr>
        <w:keepNext w:val="0"/>
        <w:keepLines w:val="0"/>
        <w:pageBreakBefore w:val="0"/>
        <w:kinsoku/>
        <w:wordWrap/>
        <w:overflowPunct/>
        <w:topLinePunct w:val="0"/>
        <w:autoSpaceDE/>
        <w:autoSpaceDN/>
        <w:bidi w:val="0"/>
        <w:adjustRightInd w:val="0"/>
        <w:snapToGrid w:val="0"/>
        <w:spacing w:after="0" w:line="348" w:lineRule="auto"/>
        <w:ind w:firstLine="643" w:firstLineChars="200"/>
        <w:textAlignment w:val="auto"/>
        <w:rPr>
          <w:rFonts w:hint="eastAsia"/>
          <w:sz w:val="32"/>
          <w:szCs w:val="32"/>
          <w:lang w:eastAsia="zh-CN"/>
        </w:rPr>
      </w:pPr>
      <w:r>
        <w:rPr>
          <w:rFonts w:ascii="Times New Roman" w:hAnsi="Times New Roman" w:cs="Times New Roman"/>
          <w:b/>
          <w:sz w:val="32"/>
          <w:szCs w:val="32"/>
          <w:lang w:eastAsia="zh-CN"/>
        </w:rPr>
        <w:t xml:space="preserve">7. </w:t>
      </w:r>
      <w:r>
        <w:rPr>
          <w:b/>
          <w:sz w:val="32"/>
          <w:szCs w:val="32"/>
          <w:lang w:eastAsia="zh-CN"/>
        </w:rPr>
        <w:t>“人工智能+”交叉融合课程实施成效评价：</w:t>
      </w:r>
      <w:r>
        <w:rPr>
          <w:rFonts w:ascii="Times New Roman" w:hAnsi="Times New Roman" w:cs="Times New Roman"/>
          <w:sz w:val="32"/>
          <w:szCs w:val="32"/>
          <w:lang w:eastAsia="zh-CN"/>
        </w:rPr>
        <w:t>人工智能</w:t>
      </w:r>
      <w:r>
        <w:rPr>
          <w:sz w:val="32"/>
          <w:szCs w:val="32"/>
          <w:lang w:eastAsia="zh-CN"/>
        </w:rPr>
        <w:t>赋能跨学科课程评价</w:t>
      </w:r>
      <w:r>
        <w:rPr>
          <w:rFonts w:hint="eastAsia"/>
          <w:sz w:val="32"/>
          <w:szCs w:val="32"/>
          <w:lang w:eastAsia="zh-CN"/>
        </w:rPr>
        <w:t>，</w:t>
      </w:r>
      <w:r>
        <w:rPr>
          <w:sz w:val="32"/>
          <w:szCs w:val="32"/>
          <w:lang w:eastAsia="zh-CN"/>
        </w:rPr>
        <w:t>智能时代人才培养新模式实施成效评估。</w:t>
      </w:r>
    </w:p>
    <w:p w14:paraId="480EFEC7">
      <w:pPr>
        <w:keepNext w:val="0"/>
        <w:keepLines w:val="0"/>
        <w:pageBreakBefore w:val="0"/>
        <w:kinsoku/>
        <w:wordWrap/>
        <w:overflowPunct/>
        <w:topLinePunct w:val="0"/>
        <w:autoSpaceDE/>
        <w:autoSpaceDN/>
        <w:bidi w:val="0"/>
        <w:adjustRightInd w:val="0"/>
        <w:snapToGrid w:val="0"/>
        <w:spacing w:after="0" w:line="348" w:lineRule="auto"/>
        <w:ind w:firstLine="643" w:firstLineChars="200"/>
        <w:textAlignment w:val="auto"/>
        <w:rPr>
          <w:rFonts w:hint="eastAsia"/>
          <w:sz w:val="32"/>
          <w:szCs w:val="32"/>
          <w:lang w:eastAsia="zh-CN"/>
        </w:rPr>
      </w:pPr>
      <w:r>
        <w:rPr>
          <w:rFonts w:ascii="Times New Roman" w:hAnsi="Times New Roman" w:cs="Times New Roman"/>
          <w:b/>
          <w:sz w:val="32"/>
          <w:szCs w:val="32"/>
          <w:lang w:eastAsia="zh-CN"/>
        </w:rPr>
        <w:t xml:space="preserve">8. </w:t>
      </w:r>
      <w:r>
        <w:rPr>
          <w:b/>
          <w:bCs/>
          <w:sz w:val="32"/>
          <w:szCs w:val="32"/>
          <w:lang w:eastAsia="zh-CN"/>
        </w:rPr>
        <w:t>院校与学科评估数字化转型：</w:t>
      </w:r>
      <w:r>
        <w:rPr>
          <w:sz w:val="32"/>
          <w:szCs w:val="32"/>
          <w:lang w:eastAsia="zh-CN"/>
        </w:rPr>
        <w:t>高等教育质量监测</w:t>
      </w:r>
      <w:r>
        <w:rPr>
          <w:rFonts w:hint="eastAsia"/>
          <w:sz w:val="32"/>
          <w:szCs w:val="32"/>
          <w:lang w:eastAsia="zh-CN"/>
        </w:rPr>
        <w:t>数字化</w:t>
      </w:r>
      <w:r>
        <w:rPr>
          <w:sz w:val="32"/>
          <w:szCs w:val="32"/>
          <w:lang w:eastAsia="zh-CN"/>
        </w:rPr>
        <w:t>平台建设</w:t>
      </w:r>
      <w:r>
        <w:rPr>
          <w:rFonts w:hint="eastAsia"/>
          <w:sz w:val="32"/>
          <w:szCs w:val="32"/>
          <w:lang w:eastAsia="zh-CN"/>
        </w:rPr>
        <w:t>创新，</w:t>
      </w:r>
      <w:r>
        <w:rPr>
          <w:sz w:val="32"/>
          <w:szCs w:val="32"/>
          <w:lang w:eastAsia="zh-CN"/>
        </w:rPr>
        <w:t>学科评估数字化工具</w:t>
      </w:r>
      <w:r>
        <w:rPr>
          <w:rFonts w:hint="eastAsia"/>
          <w:sz w:val="32"/>
          <w:szCs w:val="32"/>
          <w:lang w:eastAsia="zh-CN"/>
        </w:rPr>
        <w:t>开发与</w:t>
      </w:r>
      <w:r>
        <w:rPr>
          <w:sz w:val="32"/>
          <w:szCs w:val="32"/>
          <w:lang w:eastAsia="zh-CN"/>
        </w:rPr>
        <w:t>应用</w:t>
      </w:r>
      <w:r>
        <w:rPr>
          <w:rFonts w:hint="eastAsia"/>
          <w:sz w:val="32"/>
          <w:szCs w:val="32"/>
          <w:lang w:eastAsia="zh-CN"/>
        </w:rPr>
        <w:t>实践</w:t>
      </w:r>
      <w:r>
        <w:rPr>
          <w:sz w:val="32"/>
          <w:szCs w:val="32"/>
          <w:lang w:eastAsia="zh-CN"/>
        </w:rPr>
        <w:t>。</w:t>
      </w:r>
    </w:p>
    <w:p w14:paraId="0250F74E">
      <w:pPr>
        <w:keepNext w:val="0"/>
        <w:keepLines w:val="0"/>
        <w:pageBreakBefore w:val="0"/>
        <w:kinsoku/>
        <w:wordWrap/>
        <w:overflowPunct/>
        <w:topLinePunct w:val="0"/>
        <w:autoSpaceDE/>
        <w:autoSpaceDN/>
        <w:bidi w:val="0"/>
        <w:adjustRightInd w:val="0"/>
        <w:snapToGrid w:val="0"/>
        <w:spacing w:after="0" w:line="348" w:lineRule="auto"/>
        <w:ind w:firstLine="643" w:firstLineChars="200"/>
        <w:textAlignment w:val="auto"/>
        <w:rPr>
          <w:rFonts w:hint="eastAsia"/>
          <w:sz w:val="32"/>
          <w:szCs w:val="32"/>
          <w:lang w:eastAsia="zh-CN"/>
        </w:rPr>
      </w:pPr>
      <w:r>
        <w:rPr>
          <w:rFonts w:ascii="Times New Roman" w:hAnsi="Times New Roman" w:cs="Times New Roman"/>
          <w:b/>
          <w:sz w:val="32"/>
          <w:szCs w:val="32"/>
          <w:lang w:eastAsia="zh-CN"/>
        </w:rPr>
        <w:t xml:space="preserve">9. </w:t>
      </w:r>
      <w:r>
        <w:rPr>
          <w:b/>
          <w:sz w:val="32"/>
          <w:szCs w:val="32"/>
          <w:lang w:eastAsia="zh-CN"/>
        </w:rPr>
        <w:t>人工智能教育应用安全与伦理评价：</w:t>
      </w:r>
      <w:r>
        <w:rPr>
          <w:rFonts w:ascii="Times New Roman" w:hAnsi="Times New Roman" w:cs="Times New Roman"/>
          <w:sz w:val="32"/>
          <w:szCs w:val="32"/>
          <w:lang w:eastAsia="zh-CN"/>
        </w:rPr>
        <w:t>人工智能</w:t>
      </w:r>
      <w:r>
        <w:rPr>
          <w:sz w:val="32"/>
          <w:szCs w:val="32"/>
          <w:lang w:eastAsia="zh-CN"/>
        </w:rPr>
        <w:t>教育应用的数据安全、算法公平、隐私保护与伦理风险评估。</w:t>
      </w:r>
    </w:p>
    <w:p w14:paraId="772C2B19">
      <w:pPr>
        <w:keepNext w:val="0"/>
        <w:keepLines w:val="0"/>
        <w:pageBreakBefore w:val="0"/>
        <w:kinsoku/>
        <w:wordWrap/>
        <w:overflowPunct/>
        <w:topLinePunct w:val="0"/>
        <w:autoSpaceDE/>
        <w:autoSpaceDN/>
        <w:bidi w:val="0"/>
        <w:adjustRightInd w:val="0"/>
        <w:snapToGrid w:val="0"/>
        <w:spacing w:after="0" w:line="348" w:lineRule="auto"/>
        <w:ind w:firstLine="643" w:firstLineChars="200"/>
        <w:textAlignment w:val="auto"/>
        <w:rPr>
          <w:rFonts w:hint="eastAsia"/>
          <w:sz w:val="32"/>
          <w:szCs w:val="32"/>
          <w:lang w:eastAsia="zh-CN"/>
        </w:rPr>
      </w:pPr>
      <w:r>
        <w:rPr>
          <w:rFonts w:ascii="Times New Roman" w:hAnsi="Times New Roman" w:cs="Times New Roman"/>
          <w:b/>
          <w:sz w:val="32"/>
          <w:szCs w:val="32"/>
          <w:lang w:eastAsia="zh-CN"/>
        </w:rPr>
        <w:t>10.人工智能赋能中西部及农村地区教育优质均衡发展</w:t>
      </w:r>
      <w:r>
        <w:rPr>
          <w:sz w:val="32"/>
          <w:szCs w:val="32"/>
          <w:lang w:eastAsia="zh-CN"/>
        </w:rPr>
        <w:t>：人工智能助力教育薄弱地区质量提升的效果评价</w:t>
      </w:r>
      <w:r>
        <w:rPr>
          <w:rFonts w:hint="eastAsia"/>
          <w:sz w:val="32"/>
          <w:szCs w:val="32"/>
          <w:lang w:eastAsia="zh-CN"/>
        </w:rPr>
        <w:t>，</w:t>
      </w:r>
      <w:r>
        <w:rPr>
          <w:sz w:val="32"/>
          <w:szCs w:val="32"/>
          <w:lang w:eastAsia="zh-CN"/>
        </w:rPr>
        <w:t>教育数字化促进教育公平的实证研究。</w:t>
      </w:r>
    </w:p>
    <w:p w14:paraId="747E4E06">
      <w:pPr>
        <w:keepNext w:val="0"/>
        <w:keepLines w:val="0"/>
        <w:pageBreakBefore w:val="0"/>
        <w:widowControl/>
        <w:kinsoku/>
        <w:wordWrap/>
        <w:overflowPunct/>
        <w:topLinePunct w:val="0"/>
        <w:autoSpaceDE/>
        <w:autoSpaceDN/>
        <w:bidi w:val="0"/>
        <w:adjustRightInd w:val="0"/>
        <w:snapToGrid w:val="0"/>
        <w:spacing w:before="181" w:beforeLines="50" w:after="181" w:afterLines="50" w:line="348" w:lineRule="auto"/>
        <w:ind w:firstLine="640" w:firstLineChars="200"/>
        <w:textAlignment w:val="auto"/>
        <w:rPr>
          <w:rFonts w:hint="eastAsia"/>
          <w:bCs/>
          <w:sz w:val="32"/>
          <w:szCs w:val="32"/>
          <w:lang w:eastAsia="zh-CN"/>
        </w:rPr>
      </w:pPr>
      <w:r>
        <w:rPr>
          <w:rFonts w:ascii="黑体" w:hAnsi="黑体" w:eastAsia="黑体"/>
          <w:bCs/>
          <w:sz w:val="32"/>
          <w:szCs w:val="32"/>
          <w:lang w:eastAsia="zh-CN"/>
        </w:rPr>
        <w:t>六</w:t>
      </w:r>
      <w:r>
        <w:rPr>
          <w:rFonts w:hint="eastAsia" w:ascii="黑体" w:hAnsi="黑体" w:eastAsia="黑体"/>
          <w:bCs/>
          <w:sz w:val="32"/>
          <w:szCs w:val="32"/>
          <w:lang w:eastAsia="zh-CN"/>
        </w:rPr>
        <w:t>、</w:t>
      </w:r>
      <w:r>
        <w:rPr>
          <w:rFonts w:ascii="黑体" w:hAnsi="黑体" w:eastAsia="黑体"/>
          <w:bCs/>
          <w:sz w:val="32"/>
          <w:szCs w:val="32"/>
          <w:lang w:eastAsia="zh-CN"/>
        </w:rPr>
        <w:t>科技创新评价改革</w:t>
      </w:r>
    </w:p>
    <w:p w14:paraId="2C843B56">
      <w:pPr>
        <w:keepNext w:val="0"/>
        <w:keepLines w:val="0"/>
        <w:pageBreakBefore w:val="0"/>
        <w:kinsoku/>
        <w:wordWrap/>
        <w:overflowPunct/>
        <w:topLinePunct w:val="0"/>
        <w:autoSpaceDE/>
        <w:autoSpaceDN/>
        <w:bidi w:val="0"/>
        <w:adjustRightInd w:val="0"/>
        <w:snapToGrid w:val="0"/>
        <w:spacing w:after="0" w:line="348" w:lineRule="auto"/>
        <w:ind w:firstLine="640" w:firstLineChars="200"/>
        <w:textAlignment w:val="auto"/>
        <w:rPr>
          <w:rFonts w:hint="eastAsia"/>
          <w:sz w:val="32"/>
          <w:szCs w:val="32"/>
          <w:lang w:eastAsia="zh-CN"/>
        </w:rPr>
      </w:pPr>
      <w:r>
        <w:rPr>
          <w:sz w:val="32"/>
          <w:szCs w:val="32"/>
          <w:lang w:eastAsia="zh-CN"/>
        </w:rPr>
        <w:t>围绕教育、科技、人才一体化发展，聚焦科技创新人才培养评价、科技成果转化评价和科教融汇的体制机制创新。</w:t>
      </w:r>
    </w:p>
    <w:p w14:paraId="67E50F28">
      <w:pPr>
        <w:keepNext w:val="0"/>
        <w:keepLines w:val="0"/>
        <w:pageBreakBefore w:val="0"/>
        <w:kinsoku/>
        <w:wordWrap/>
        <w:overflowPunct/>
        <w:topLinePunct w:val="0"/>
        <w:autoSpaceDE/>
        <w:autoSpaceDN/>
        <w:bidi w:val="0"/>
        <w:adjustRightInd w:val="0"/>
        <w:snapToGrid w:val="0"/>
        <w:spacing w:after="0" w:line="348" w:lineRule="auto"/>
        <w:ind w:firstLine="643" w:firstLineChars="200"/>
        <w:textAlignment w:val="auto"/>
        <w:rPr>
          <w:rFonts w:hint="eastAsia"/>
          <w:sz w:val="32"/>
          <w:szCs w:val="32"/>
          <w:lang w:eastAsia="zh-CN"/>
        </w:rPr>
      </w:pPr>
      <w:r>
        <w:rPr>
          <w:rFonts w:ascii="Times New Roman" w:hAnsi="Times New Roman" w:cs="Times New Roman"/>
          <w:b/>
          <w:sz w:val="32"/>
          <w:szCs w:val="32"/>
          <w:lang w:eastAsia="zh-CN"/>
        </w:rPr>
        <w:t>1.</w:t>
      </w:r>
      <w:r>
        <w:rPr>
          <w:b/>
          <w:sz w:val="32"/>
          <w:szCs w:val="32"/>
          <w:lang w:eastAsia="zh-CN"/>
        </w:rPr>
        <w:t>教育</w:t>
      </w:r>
      <w:r>
        <w:rPr>
          <w:rFonts w:hint="eastAsia"/>
          <w:b/>
          <w:sz w:val="32"/>
          <w:szCs w:val="32"/>
          <w:lang w:eastAsia="zh-CN"/>
        </w:rPr>
        <w:t>科技</w:t>
      </w:r>
      <w:r>
        <w:rPr>
          <w:b/>
          <w:sz w:val="32"/>
          <w:szCs w:val="32"/>
          <w:lang w:eastAsia="zh-CN"/>
        </w:rPr>
        <w:t>人才一体化发展综合评价：</w:t>
      </w:r>
      <w:r>
        <w:rPr>
          <w:sz w:val="32"/>
          <w:szCs w:val="32"/>
          <w:lang w:eastAsia="zh-CN"/>
        </w:rPr>
        <w:t>教育科技人才“三位一体”协同发展</w:t>
      </w:r>
      <w:r>
        <w:rPr>
          <w:rFonts w:hint="eastAsia"/>
          <w:sz w:val="32"/>
          <w:szCs w:val="32"/>
          <w:lang w:eastAsia="zh-CN"/>
        </w:rPr>
        <w:t>水平</w:t>
      </w:r>
      <w:r>
        <w:rPr>
          <w:sz w:val="32"/>
          <w:szCs w:val="32"/>
          <w:lang w:eastAsia="zh-CN"/>
        </w:rPr>
        <w:t>评价</w:t>
      </w:r>
      <w:r>
        <w:rPr>
          <w:rFonts w:hint="eastAsia"/>
          <w:sz w:val="32"/>
          <w:szCs w:val="32"/>
          <w:lang w:eastAsia="zh-CN"/>
        </w:rPr>
        <w:t>与</w:t>
      </w:r>
      <w:r>
        <w:rPr>
          <w:sz w:val="32"/>
          <w:szCs w:val="32"/>
          <w:lang w:eastAsia="zh-CN"/>
        </w:rPr>
        <w:t>指数</w:t>
      </w:r>
      <w:r>
        <w:rPr>
          <w:rFonts w:hint="eastAsia"/>
          <w:sz w:val="32"/>
          <w:szCs w:val="32"/>
          <w:lang w:eastAsia="zh-CN"/>
        </w:rPr>
        <w:t>构建，</w:t>
      </w:r>
      <w:r>
        <w:rPr>
          <w:sz w:val="32"/>
          <w:szCs w:val="32"/>
          <w:lang w:eastAsia="zh-CN"/>
        </w:rPr>
        <w:t>教育科技人才体制机制一体改革成效评价，区域创新生态中教育支撑度与</w:t>
      </w:r>
      <w:r>
        <w:rPr>
          <w:rFonts w:hint="eastAsia"/>
          <w:sz w:val="32"/>
          <w:szCs w:val="32"/>
          <w:lang w:eastAsia="zh-CN"/>
        </w:rPr>
        <w:t>综合</w:t>
      </w:r>
      <w:r>
        <w:rPr>
          <w:sz w:val="32"/>
          <w:szCs w:val="32"/>
          <w:lang w:eastAsia="zh-CN"/>
        </w:rPr>
        <w:t>赋能</w:t>
      </w:r>
      <w:r>
        <w:rPr>
          <w:rFonts w:hint="eastAsia"/>
          <w:sz w:val="32"/>
          <w:szCs w:val="32"/>
          <w:lang w:eastAsia="zh-CN"/>
        </w:rPr>
        <w:t>实效</w:t>
      </w:r>
      <w:r>
        <w:rPr>
          <w:sz w:val="32"/>
          <w:szCs w:val="32"/>
          <w:lang w:eastAsia="zh-CN"/>
        </w:rPr>
        <w:t>评价。</w:t>
      </w:r>
    </w:p>
    <w:p w14:paraId="59836538">
      <w:pPr>
        <w:keepNext w:val="0"/>
        <w:keepLines w:val="0"/>
        <w:pageBreakBefore w:val="0"/>
        <w:widowControl w:val="0"/>
        <w:kinsoku/>
        <w:wordWrap/>
        <w:overflowPunct/>
        <w:topLinePunct w:val="0"/>
        <w:autoSpaceDE/>
        <w:autoSpaceDN/>
        <w:bidi w:val="0"/>
        <w:adjustRightInd w:val="0"/>
        <w:snapToGrid w:val="0"/>
        <w:spacing w:after="0" w:line="348" w:lineRule="auto"/>
        <w:ind w:firstLine="643" w:firstLineChars="200"/>
        <w:textAlignment w:val="auto"/>
        <w:rPr>
          <w:rFonts w:hint="eastAsia"/>
          <w:sz w:val="32"/>
          <w:szCs w:val="32"/>
          <w:lang w:eastAsia="zh-CN"/>
        </w:rPr>
      </w:pPr>
      <w:r>
        <w:rPr>
          <w:rFonts w:ascii="Times New Roman" w:hAnsi="Times New Roman" w:cs="Times New Roman"/>
          <w:b/>
          <w:sz w:val="32"/>
          <w:szCs w:val="32"/>
          <w:lang w:eastAsia="zh-CN"/>
        </w:rPr>
        <w:t xml:space="preserve">2. </w:t>
      </w:r>
      <w:r>
        <w:rPr>
          <w:b/>
          <w:sz w:val="32"/>
          <w:szCs w:val="32"/>
          <w:lang w:eastAsia="zh-CN"/>
        </w:rPr>
        <w:t>大中小学科学教育一体化评价：</w:t>
      </w:r>
      <w:r>
        <w:rPr>
          <w:rFonts w:hint="eastAsia"/>
          <w:sz w:val="32"/>
          <w:szCs w:val="32"/>
          <w:lang w:eastAsia="zh-CN"/>
        </w:rPr>
        <w:t>学段</w:t>
      </w:r>
      <w:r>
        <w:rPr>
          <w:sz w:val="32"/>
          <w:szCs w:val="32"/>
          <w:lang w:eastAsia="zh-CN"/>
        </w:rPr>
        <w:t>贯通</w:t>
      </w:r>
      <w:r>
        <w:rPr>
          <w:rFonts w:hint="eastAsia"/>
          <w:sz w:val="32"/>
          <w:szCs w:val="32"/>
          <w:lang w:eastAsia="zh-CN"/>
        </w:rPr>
        <w:t>与协同育人机制</w:t>
      </w:r>
      <w:r>
        <w:rPr>
          <w:sz w:val="32"/>
          <w:szCs w:val="32"/>
          <w:lang w:eastAsia="zh-CN"/>
        </w:rPr>
        <w:t>评价</w:t>
      </w:r>
      <w:r>
        <w:rPr>
          <w:rFonts w:hint="eastAsia"/>
          <w:sz w:val="32"/>
          <w:szCs w:val="32"/>
          <w:lang w:eastAsia="zh-CN"/>
        </w:rPr>
        <w:t>，贯通培养实施成效与科技素养追踪评价，科学</w:t>
      </w:r>
      <w:r>
        <w:rPr>
          <w:sz w:val="32"/>
          <w:szCs w:val="32"/>
          <w:lang w:eastAsia="zh-CN"/>
        </w:rPr>
        <w:t>高中与</w:t>
      </w:r>
      <w:r>
        <w:rPr>
          <w:rFonts w:hint="eastAsia"/>
          <w:sz w:val="32"/>
          <w:szCs w:val="32"/>
          <w:lang w:eastAsia="zh-CN"/>
        </w:rPr>
        <w:t>科技</w:t>
      </w:r>
      <w:r>
        <w:rPr>
          <w:sz w:val="32"/>
          <w:szCs w:val="32"/>
          <w:lang w:eastAsia="zh-CN"/>
        </w:rPr>
        <w:t>教育特色学校</w:t>
      </w:r>
      <w:r>
        <w:rPr>
          <w:rFonts w:hint="eastAsia"/>
          <w:sz w:val="32"/>
          <w:szCs w:val="32"/>
          <w:lang w:eastAsia="zh-CN"/>
        </w:rPr>
        <w:t>建设成效</w:t>
      </w:r>
      <w:r>
        <w:rPr>
          <w:sz w:val="32"/>
          <w:szCs w:val="32"/>
          <w:lang w:eastAsia="zh-CN"/>
        </w:rPr>
        <w:t>评价。</w:t>
      </w:r>
    </w:p>
    <w:p w14:paraId="20CF0092">
      <w:pPr>
        <w:keepNext w:val="0"/>
        <w:keepLines w:val="0"/>
        <w:pageBreakBefore w:val="0"/>
        <w:kinsoku/>
        <w:wordWrap/>
        <w:overflowPunct/>
        <w:topLinePunct w:val="0"/>
        <w:autoSpaceDE/>
        <w:autoSpaceDN/>
        <w:bidi w:val="0"/>
        <w:adjustRightInd w:val="0"/>
        <w:snapToGrid w:val="0"/>
        <w:spacing w:after="0" w:line="348" w:lineRule="auto"/>
        <w:ind w:firstLine="643" w:firstLineChars="200"/>
        <w:textAlignment w:val="auto"/>
        <w:rPr>
          <w:rFonts w:hint="eastAsia"/>
          <w:sz w:val="32"/>
          <w:szCs w:val="32"/>
          <w:lang w:eastAsia="zh-CN"/>
        </w:rPr>
      </w:pPr>
      <w:r>
        <w:rPr>
          <w:rFonts w:ascii="Times New Roman" w:hAnsi="Times New Roman" w:cs="Times New Roman"/>
          <w:b/>
          <w:sz w:val="32"/>
          <w:szCs w:val="32"/>
          <w:lang w:eastAsia="zh-CN"/>
        </w:rPr>
        <w:t xml:space="preserve">3. </w:t>
      </w:r>
      <w:r>
        <w:rPr>
          <w:b/>
          <w:sz w:val="32"/>
          <w:szCs w:val="32"/>
          <w:lang w:eastAsia="zh-CN"/>
        </w:rPr>
        <w:t>高校科技创新能力与科研绩效评价：</w:t>
      </w:r>
      <w:r>
        <w:rPr>
          <w:sz w:val="32"/>
          <w:szCs w:val="32"/>
          <w:lang w:eastAsia="zh-CN"/>
        </w:rPr>
        <w:t>高校基础研究</w:t>
      </w:r>
      <w:r>
        <w:rPr>
          <w:rFonts w:hint="eastAsia"/>
          <w:sz w:val="32"/>
          <w:szCs w:val="32"/>
          <w:lang w:eastAsia="zh-CN"/>
        </w:rPr>
        <w:t>与应用技术创新</w:t>
      </w:r>
      <w:r>
        <w:rPr>
          <w:sz w:val="32"/>
          <w:szCs w:val="32"/>
          <w:lang w:eastAsia="zh-CN"/>
        </w:rPr>
        <w:t>能力评价</w:t>
      </w:r>
      <w:r>
        <w:rPr>
          <w:rFonts w:hint="eastAsia"/>
          <w:sz w:val="32"/>
          <w:szCs w:val="32"/>
          <w:lang w:eastAsia="zh-CN"/>
        </w:rPr>
        <w:t>，</w:t>
      </w:r>
      <w:r>
        <w:rPr>
          <w:sz w:val="32"/>
          <w:szCs w:val="32"/>
          <w:lang w:eastAsia="zh-CN"/>
        </w:rPr>
        <w:t>“从</w:t>
      </w:r>
      <w:r>
        <w:rPr>
          <w:rFonts w:ascii="Times New Roman" w:hAnsi="Times New Roman" w:cs="Times New Roman"/>
          <w:sz w:val="32"/>
          <w:szCs w:val="32"/>
          <w:lang w:eastAsia="zh-CN"/>
        </w:rPr>
        <w:t>0到1</w:t>
      </w:r>
      <w:r>
        <w:rPr>
          <w:sz w:val="32"/>
          <w:szCs w:val="32"/>
          <w:lang w:eastAsia="zh-CN"/>
        </w:rPr>
        <w:t>”原创成果</w:t>
      </w:r>
      <w:r>
        <w:rPr>
          <w:rFonts w:hint="eastAsia"/>
          <w:sz w:val="32"/>
          <w:szCs w:val="32"/>
          <w:lang w:eastAsia="zh-CN"/>
        </w:rPr>
        <w:t>与代表性成果</w:t>
      </w:r>
      <w:r>
        <w:rPr>
          <w:sz w:val="32"/>
          <w:szCs w:val="32"/>
          <w:lang w:eastAsia="zh-CN"/>
        </w:rPr>
        <w:t>评价</w:t>
      </w:r>
      <w:r>
        <w:rPr>
          <w:rFonts w:hint="eastAsia"/>
          <w:sz w:val="32"/>
          <w:szCs w:val="32"/>
          <w:lang w:eastAsia="zh-CN"/>
        </w:rPr>
        <w:t>，</w:t>
      </w:r>
      <w:r>
        <w:rPr>
          <w:sz w:val="32"/>
          <w:szCs w:val="32"/>
          <w:lang w:eastAsia="zh-CN"/>
        </w:rPr>
        <w:t>有组织科研</w:t>
      </w:r>
      <w:r>
        <w:rPr>
          <w:rFonts w:hint="eastAsia"/>
          <w:sz w:val="32"/>
          <w:szCs w:val="32"/>
          <w:lang w:eastAsia="zh-CN"/>
        </w:rPr>
        <w:t>运行成效、产出绩效与社会战略贡献度评价</w:t>
      </w:r>
      <w:r>
        <w:rPr>
          <w:sz w:val="32"/>
          <w:szCs w:val="32"/>
          <w:lang w:eastAsia="zh-CN"/>
        </w:rPr>
        <w:t>。</w:t>
      </w:r>
    </w:p>
    <w:p w14:paraId="405591BE">
      <w:pPr>
        <w:keepNext w:val="0"/>
        <w:keepLines w:val="0"/>
        <w:pageBreakBefore w:val="0"/>
        <w:kinsoku/>
        <w:wordWrap/>
        <w:overflowPunct/>
        <w:topLinePunct w:val="0"/>
        <w:autoSpaceDE/>
        <w:autoSpaceDN/>
        <w:bidi w:val="0"/>
        <w:adjustRightInd w:val="0"/>
        <w:snapToGrid w:val="0"/>
        <w:spacing w:after="0" w:line="348" w:lineRule="auto"/>
        <w:ind w:firstLine="643" w:firstLineChars="200"/>
        <w:textAlignment w:val="auto"/>
        <w:rPr>
          <w:rFonts w:hint="eastAsia"/>
          <w:sz w:val="32"/>
          <w:szCs w:val="32"/>
          <w:lang w:eastAsia="zh-CN"/>
        </w:rPr>
      </w:pPr>
      <w:r>
        <w:rPr>
          <w:rFonts w:ascii="Times New Roman" w:hAnsi="Times New Roman" w:cs="Times New Roman"/>
          <w:b/>
          <w:sz w:val="32"/>
          <w:szCs w:val="32"/>
          <w:lang w:eastAsia="zh-CN"/>
        </w:rPr>
        <w:t xml:space="preserve">4. </w:t>
      </w:r>
      <w:r>
        <w:rPr>
          <w:b/>
          <w:sz w:val="32"/>
          <w:szCs w:val="32"/>
          <w:lang w:eastAsia="zh-CN"/>
        </w:rPr>
        <w:t>产学研协同创新与科技成果转化效能评价：</w:t>
      </w:r>
      <w:r>
        <w:rPr>
          <w:sz w:val="32"/>
          <w:szCs w:val="32"/>
          <w:lang w:eastAsia="zh-CN"/>
        </w:rPr>
        <w:t>协同创新机制与合作成效评价</w:t>
      </w:r>
      <w:r>
        <w:rPr>
          <w:rFonts w:hint="eastAsia"/>
          <w:sz w:val="32"/>
          <w:szCs w:val="32"/>
          <w:lang w:eastAsia="zh-CN"/>
        </w:rPr>
        <w:t>，</w:t>
      </w:r>
      <w:r>
        <w:rPr>
          <w:sz w:val="32"/>
          <w:szCs w:val="32"/>
          <w:lang w:eastAsia="zh-CN"/>
        </w:rPr>
        <w:t>高校科技成果转化全链条</w:t>
      </w:r>
      <w:r>
        <w:rPr>
          <w:rFonts w:hint="eastAsia"/>
          <w:sz w:val="32"/>
          <w:szCs w:val="32"/>
          <w:lang w:eastAsia="zh-CN"/>
        </w:rPr>
        <w:t>效能</w:t>
      </w:r>
      <w:r>
        <w:rPr>
          <w:sz w:val="32"/>
          <w:szCs w:val="32"/>
          <w:lang w:eastAsia="zh-CN"/>
        </w:rPr>
        <w:t>评价</w:t>
      </w:r>
      <w:r>
        <w:rPr>
          <w:rFonts w:hint="eastAsia"/>
          <w:sz w:val="32"/>
          <w:szCs w:val="32"/>
          <w:lang w:eastAsia="zh-CN"/>
        </w:rPr>
        <w:t>，</w:t>
      </w:r>
      <w:r>
        <w:rPr>
          <w:sz w:val="32"/>
          <w:szCs w:val="32"/>
          <w:lang w:eastAsia="zh-CN"/>
        </w:rPr>
        <w:t>大学科技园与区域技术转移转化中心</w:t>
      </w:r>
      <w:r>
        <w:rPr>
          <w:rFonts w:hint="eastAsia"/>
          <w:sz w:val="32"/>
          <w:szCs w:val="32"/>
          <w:lang w:eastAsia="zh-CN"/>
        </w:rPr>
        <w:t>运行绩效</w:t>
      </w:r>
      <w:r>
        <w:rPr>
          <w:sz w:val="32"/>
          <w:szCs w:val="32"/>
          <w:lang w:eastAsia="zh-CN"/>
        </w:rPr>
        <w:t>评估。</w:t>
      </w:r>
    </w:p>
    <w:p w14:paraId="2DC50269">
      <w:pPr>
        <w:keepNext w:val="0"/>
        <w:keepLines w:val="0"/>
        <w:pageBreakBefore w:val="0"/>
        <w:kinsoku/>
        <w:wordWrap/>
        <w:overflowPunct/>
        <w:topLinePunct w:val="0"/>
        <w:autoSpaceDE/>
        <w:autoSpaceDN/>
        <w:bidi w:val="0"/>
        <w:adjustRightInd w:val="0"/>
        <w:snapToGrid w:val="0"/>
        <w:spacing w:after="0" w:line="348" w:lineRule="auto"/>
        <w:ind w:firstLine="643" w:firstLineChars="200"/>
        <w:textAlignment w:val="auto"/>
        <w:rPr>
          <w:rFonts w:hint="eastAsia"/>
          <w:sz w:val="32"/>
          <w:szCs w:val="32"/>
          <w:lang w:eastAsia="zh-CN"/>
        </w:rPr>
      </w:pPr>
      <w:r>
        <w:rPr>
          <w:rFonts w:ascii="Times New Roman" w:hAnsi="Times New Roman" w:cs="Times New Roman"/>
          <w:b/>
          <w:sz w:val="32"/>
          <w:szCs w:val="32"/>
          <w:lang w:eastAsia="zh-CN"/>
        </w:rPr>
        <w:t xml:space="preserve">5. </w:t>
      </w:r>
      <w:r>
        <w:rPr>
          <w:b/>
          <w:sz w:val="32"/>
          <w:szCs w:val="32"/>
          <w:lang w:eastAsia="zh-CN"/>
        </w:rPr>
        <w:t>科技人才早期发现与贯通培养评价：</w:t>
      </w:r>
      <w:r>
        <w:rPr>
          <w:sz w:val="32"/>
          <w:szCs w:val="32"/>
          <w:lang w:eastAsia="zh-CN"/>
        </w:rPr>
        <w:t>早期</w:t>
      </w:r>
      <w:r>
        <w:rPr>
          <w:rFonts w:hint="eastAsia"/>
          <w:sz w:val="32"/>
          <w:szCs w:val="32"/>
          <w:lang w:eastAsia="zh-CN"/>
        </w:rPr>
        <w:t>发现与</w:t>
      </w:r>
      <w:r>
        <w:rPr>
          <w:sz w:val="32"/>
          <w:szCs w:val="32"/>
          <w:lang w:eastAsia="zh-CN"/>
        </w:rPr>
        <w:t>选拔机制</w:t>
      </w:r>
      <w:r>
        <w:rPr>
          <w:rFonts w:hint="eastAsia"/>
          <w:sz w:val="32"/>
          <w:szCs w:val="32"/>
          <w:lang w:eastAsia="zh-CN"/>
        </w:rPr>
        <w:t>有效性评价，</w:t>
      </w:r>
      <w:r>
        <w:rPr>
          <w:sz w:val="32"/>
          <w:szCs w:val="32"/>
          <w:lang w:eastAsia="zh-CN"/>
        </w:rPr>
        <w:t>“中学生英才计划”等科技后备人才项目</w:t>
      </w:r>
      <w:r>
        <w:rPr>
          <w:rFonts w:hint="eastAsia"/>
          <w:sz w:val="32"/>
          <w:szCs w:val="32"/>
          <w:lang w:eastAsia="zh-CN"/>
        </w:rPr>
        <w:t>成效</w:t>
      </w:r>
      <w:r>
        <w:rPr>
          <w:sz w:val="32"/>
          <w:szCs w:val="32"/>
          <w:lang w:eastAsia="zh-CN"/>
        </w:rPr>
        <w:t>评价</w:t>
      </w:r>
      <w:r>
        <w:rPr>
          <w:rFonts w:hint="eastAsia"/>
          <w:sz w:val="32"/>
          <w:szCs w:val="32"/>
          <w:lang w:eastAsia="zh-CN"/>
        </w:rPr>
        <w:t>，</w:t>
      </w:r>
      <w:r>
        <w:rPr>
          <w:sz w:val="32"/>
          <w:szCs w:val="32"/>
          <w:lang w:eastAsia="zh-CN"/>
        </w:rPr>
        <w:t>中学</w:t>
      </w:r>
      <w:r>
        <w:rPr>
          <w:rFonts w:hint="eastAsia"/>
          <w:sz w:val="32"/>
          <w:szCs w:val="32"/>
          <w:lang w:eastAsia="zh-CN"/>
        </w:rPr>
        <w:t>、</w:t>
      </w:r>
      <w:r>
        <w:rPr>
          <w:sz w:val="32"/>
          <w:szCs w:val="32"/>
          <w:lang w:eastAsia="zh-CN"/>
        </w:rPr>
        <w:t>大学</w:t>
      </w:r>
      <w:r>
        <w:rPr>
          <w:rFonts w:hint="eastAsia"/>
          <w:sz w:val="32"/>
          <w:szCs w:val="32"/>
          <w:lang w:eastAsia="zh-CN"/>
        </w:rPr>
        <w:t>、</w:t>
      </w:r>
      <w:r>
        <w:rPr>
          <w:sz w:val="32"/>
          <w:szCs w:val="32"/>
          <w:lang w:eastAsia="zh-CN"/>
        </w:rPr>
        <w:t>研究生贯通培养衔接机制评价</w:t>
      </w:r>
      <w:r>
        <w:rPr>
          <w:rFonts w:hint="eastAsia"/>
          <w:sz w:val="32"/>
          <w:szCs w:val="32"/>
          <w:lang w:eastAsia="zh-CN"/>
        </w:rPr>
        <w:t>，</w:t>
      </w:r>
      <w:r>
        <w:rPr>
          <w:sz w:val="32"/>
          <w:szCs w:val="32"/>
          <w:lang w:eastAsia="zh-CN"/>
        </w:rPr>
        <w:t>科技后备人才长期发展</w:t>
      </w:r>
      <w:r>
        <w:rPr>
          <w:rFonts w:hint="eastAsia"/>
          <w:sz w:val="32"/>
          <w:szCs w:val="32"/>
          <w:lang w:eastAsia="zh-CN"/>
        </w:rPr>
        <w:t>追踪</w:t>
      </w:r>
      <w:r>
        <w:rPr>
          <w:sz w:val="32"/>
          <w:szCs w:val="32"/>
          <w:lang w:eastAsia="zh-CN"/>
        </w:rPr>
        <w:t>评价。</w:t>
      </w:r>
    </w:p>
    <w:p w14:paraId="79FA4E8F">
      <w:pPr>
        <w:keepNext w:val="0"/>
        <w:keepLines w:val="0"/>
        <w:pageBreakBefore w:val="0"/>
        <w:kinsoku/>
        <w:wordWrap/>
        <w:overflowPunct/>
        <w:topLinePunct w:val="0"/>
        <w:autoSpaceDE/>
        <w:autoSpaceDN/>
        <w:bidi w:val="0"/>
        <w:adjustRightInd w:val="0"/>
        <w:snapToGrid w:val="0"/>
        <w:spacing w:after="0" w:line="348" w:lineRule="auto"/>
        <w:ind w:firstLine="643" w:firstLineChars="200"/>
        <w:textAlignment w:val="auto"/>
        <w:rPr>
          <w:rFonts w:hint="eastAsia"/>
          <w:sz w:val="32"/>
          <w:szCs w:val="32"/>
          <w:lang w:eastAsia="zh-CN"/>
        </w:rPr>
      </w:pPr>
      <w:r>
        <w:rPr>
          <w:rFonts w:ascii="Times New Roman" w:hAnsi="Times New Roman" w:cs="Times New Roman"/>
          <w:b/>
          <w:sz w:val="32"/>
          <w:szCs w:val="32"/>
          <w:lang w:eastAsia="zh-CN"/>
        </w:rPr>
        <w:t xml:space="preserve">6. </w:t>
      </w:r>
      <w:r>
        <w:rPr>
          <w:b/>
          <w:sz w:val="32"/>
          <w:szCs w:val="32"/>
          <w:lang w:eastAsia="zh-CN"/>
        </w:rPr>
        <w:t>交叉学科与新兴领域人才培养质量评价：</w:t>
      </w:r>
      <w:r>
        <w:rPr>
          <w:sz w:val="32"/>
          <w:szCs w:val="32"/>
          <w:lang w:eastAsia="zh-CN"/>
        </w:rPr>
        <w:t>交叉学科设置</w:t>
      </w:r>
      <w:r>
        <w:rPr>
          <w:rFonts w:hint="eastAsia"/>
          <w:sz w:val="32"/>
          <w:szCs w:val="32"/>
          <w:lang w:eastAsia="zh-CN"/>
        </w:rPr>
        <w:t>合理性与培养模式评价，人才</w:t>
      </w:r>
      <w:r>
        <w:rPr>
          <w:sz w:val="32"/>
          <w:szCs w:val="32"/>
          <w:lang w:eastAsia="zh-CN"/>
        </w:rPr>
        <w:t>培养</w:t>
      </w:r>
      <w:r>
        <w:rPr>
          <w:rFonts w:hint="eastAsia"/>
          <w:sz w:val="32"/>
          <w:szCs w:val="32"/>
          <w:lang w:eastAsia="zh-CN"/>
        </w:rPr>
        <w:t>过程与</w:t>
      </w:r>
      <w:r>
        <w:rPr>
          <w:sz w:val="32"/>
          <w:szCs w:val="32"/>
          <w:lang w:eastAsia="zh-CN"/>
        </w:rPr>
        <w:t>质量</w:t>
      </w:r>
      <w:r>
        <w:rPr>
          <w:rFonts w:hint="eastAsia"/>
          <w:sz w:val="32"/>
          <w:szCs w:val="32"/>
          <w:lang w:eastAsia="zh-CN"/>
        </w:rPr>
        <w:t>评估，</w:t>
      </w:r>
      <w:r>
        <w:rPr>
          <w:sz w:val="32"/>
          <w:szCs w:val="32"/>
          <w:lang w:eastAsia="zh-CN"/>
        </w:rPr>
        <w:t>面向战略性新兴产业的人才培养供需适配度与动态响应</w:t>
      </w:r>
      <w:r>
        <w:rPr>
          <w:rFonts w:hint="eastAsia"/>
          <w:sz w:val="32"/>
          <w:szCs w:val="32"/>
          <w:lang w:eastAsia="zh-CN"/>
        </w:rPr>
        <w:t>机制</w:t>
      </w:r>
      <w:r>
        <w:rPr>
          <w:sz w:val="32"/>
          <w:szCs w:val="32"/>
          <w:lang w:eastAsia="zh-CN"/>
        </w:rPr>
        <w:t>评价</w:t>
      </w:r>
      <w:r>
        <w:rPr>
          <w:rFonts w:hint="eastAsia"/>
          <w:sz w:val="32"/>
          <w:szCs w:val="32"/>
          <w:lang w:eastAsia="zh-CN"/>
        </w:rPr>
        <w:t>，</w:t>
      </w:r>
      <w:r>
        <w:rPr>
          <w:sz w:val="32"/>
          <w:szCs w:val="32"/>
          <w:lang w:eastAsia="zh-CN"/>
        </w:rPr>
        <w:t>学生跨学科创新能力增值评价。</w:t>
      </w:r>
    </w:p>
    <w:p w14:paraId="12A4AAAE">
      <w:pPr>
        <w:keepNext w:val="0"/>
        <w:keepLines w:val="0"/>
        <w:pageBreakBefore w:val="0"/>
        <w:kinsoku/>
        <w:wordWrap/>
        <w:overflowPunct/>
        <w:topLinePunct w:val="0"/>
        <w:autoSpaceDE/>
        <w:autoSpaceDN/>
        <w:bidi w:val="0"/>
        <w:adjustRightInd w:val="0"/>
        <w:snapToGrid w:val="0"/>
        <w:spacing w:after="0" w:line="348" w:lineRule="auto"/>
        <w:ind w:firstLine="643" w:firstLineChars="200"/>
        <w:textAlignment w:val="auto"/>
        <w:rPr>
          <w:rFonts w:hint="eastAsia"/>
          <w:sz w:val="32"/>
          <w:szCs w:val="32"/>
          <w:lang w:eastAsia="zh-CN"/>
        </w:rPr>
      </w:pPr>
      <w:r>
        <w:rPr>
          <w:rFonts w:ascii="Times New Roman" w:hAnsi="Times New Roman" w:cs="Times New Roman"/>
          <w:b/>
          <w:sz w:val="32"/>
          <w:szCs w:val="32"/>
          <w:lang w:eastAsia="zh-CN"/>
        </w:rPr>
        <w:t xml:space="preserve">7. </w:t>
      </w:r>
      <w:r>
        <w:rPr>
          <w:b/>
          <w:sz w:val="32"/>
          <w:szCs w:val="32"/>
          <w:lang w:eastAsia="zh-CN"/>
        </w:rPr>
        <w:t>科研诚信与学术生态环境</w:t>
      </w:r>
      <w:r>
        <w:rPr>
          <w:rFonts w:hint="eastAsia"/>
          <w:b/>
          <w:sz w:val="32"/>
          <w:szCs w:val="32"/>
          <w:lang w:eastAsia="zh-CN"/>
        </w:rPr>
        <w:t>建设</w:t>
      </w:r>
      <w:r>
        <w:rPr>
          <w:b/>
          <w:sz w:val="32"/>
          <w:szCs w:val="32"/>
          <w:lang w:eastAsia="zh-CN"/>
        </w:rPr>
        <w:t>评价：</w:t>
      </w:r>
      <w:r>
        <w:rPr>
          <w:sz w:val="32"/>
          <w:szCs w:val="32"/>
          <w:lang w:eastAsia="zh-CN"/>
        </w:rPr>
        <w:t>科研诚信</w:t>
      </w:r>
      <w:r>
        <w:rPr>
          <w:rFonts w:hint="eastAsia"/>
          <w:sz w:val="32"/>
          <w:szCs w:val="32"/>
          <w:lang w:eastAsia="zh-CN"/>
        </w:rPr>
        <w:t>制度落实与</w:t>
      </w:r>
      <w:r>
        <w:rPr>
          <w:sz w:val="32"/>
          <w:szCs w:val="32"/>
          <w:lang w:eastAsia="zh-CN"/>
        </w:rPr>
        <w:t>建设成效评价</w:t>
      </w:r>
      <w:r>
        <w:rPr>
          <w:rFonts w:hint="eastAsia"/>
          <w:sz w:val="32"/>
          <w:szCs w:val="32"/>
          <w:lang w:eastAsia="zh-CN"/>
        </w:rPr>
        <w:t>，</w:t>
      </w:r>
      <w:r>
        <w:rPr>
          <w:sz w:val="32"/>
          <w:szCs w:val="32"/>
          <w:lang w:eastAsia="zh-CN"/>
        </w:rPr>
        <w:t>学术评价</w:t>
      </w:r>
      <w:r>
        <w:rPr>
          <w:rFonts w:hint="eastAsia"/>
          <w:sz w:val="32"/>
          <w:szCs w:val="32"/>
          <w:lang w:eastAsia="zh-CN"/>
        </w:rPr>
        <w:t>改革（</w:t>
      </w:r>
      <w:r>
        <w:rPr>
          <w:sz w:val="32"/>
          <w:szCs w:val="32"/>
          <w:lang w:eastAsia="zh-CN"/>
        </w:rPr>
        <w:t>“破五唯”</w:t>
      </w:r>
      <w:r>
        <w:rPr>
          <w:rFonts w:hint="eastAsia"/>
          <w:sz w:val="32"/>
          <w:szCs w:val="32"/>
          <w:lang w:eastAsia="zh-CN"/>
        </w:rPr>
        <w:t>）实施成效与</w:t>
      </w:r>
      <w:r>
        <w:rPr>
          <w:sz w:val="32"/>
          <w:szCs w:val="32"/>
          <w:lang w:eastAsia="zh-CN"/>
        </w:rPr>
        <w:t>实践案例</w:t>
      </w:r>
      <w:r>
        <w:rPr>
          <w:rFonts w:hint="eastAsia"/>
          <w:sz w:val="32"/>
          <w:szCs w:val="32"/>
          <w:lang w:eastAsia="zh-CN"/>
        </w:rPr>
        <w:t>，</w:t>
      </w:r>
      <w:r>
        <w:rPr>
          <w:sz w:val="32"/>
          <w:szCs w:val="32"/>
          <w:lang w:eastAsia="zh-CN"/>
        </w:rPr>
        <w:t>学术生态环境动态</w:t>
      </w:r>
      <w:r>
        <w:rPr>
          <w:rFonts w:hint="eastAsia"/>
          <w:sz w:val="32"/>
          <w:szCs w:val="32"/>
          <w:lang w:eastAsia="zh-CN"/>
        </w:rPr>
        <w:t>监测与</w:t>
      </w:r>
      <w:r>
        <w:rPr>
          <w:sz w:val="32"/>
          <w:szCs w:val="32"/>
          <w:lang w:eastAsia="zh-CN"/>
        </w:rPr>
        <w:t>宽容失败、鼓励创新机制</w:t>
      </w:r>
      <w:r>
        <w:rPr>
          <w:rFonts w:hint="eastAsia"/>
          <w:sz w:val="32"/>
          <w:szCs w:val="32"/>
          <w:lang w:eastAsia="zh-CN"/>
        </w:rPr>
        <w:t>评价。</w:t>
      </w:r>
    </w:p>
    <w:p w14:paraId="523489E2">
      <w:pPr>
        <w:keepNext w:val="0"/>
        <w:keepLines w:val="0"/>
        <w:pageBreakBefore w:val="0"/>
        <w:widowControl w:val="0"/>
        <w:kinsoku/>
        <w:wordWrap/>
        <w:overflowPunct/>
        <w:topLinePunct w:val="0"/>
        <w:autoSpaceDE/>
        <w:autoSpaceDN/>
        <w:bidi w:val="0"/>
        <w:adjustRightInd w:val="0"/>
        <w:snapToGrid w:val="0"/>
        <w:spacing w:after="0" w:line="348" w:lineRule="auto"/>
        <w:ind w:firstLine="643" w:firstLineChars="200"/>
        <w:textAlignment w:val="auto"/>
        <w:rPr>
          <w:rFonts w:hint="eastAsia"/>
          <w:sz w:val="32"/>
          <w:szCs w:val="32"/>
          <w:lang w:eastAsia="zh-CN"/>
        </w:rPr>
      </w:pPr>
      <w:r>
        <w:rPr>
          <w:rFonts w:ascii="Times New Roman" w:hAnsi="Times New Roman" w:cs="Times New Roman"/>
          <w:b/>
          <w:sz w:val="32"/>
          <w:szCs w:val="32"/>
          <w:lang w:eastAsia="zh-CN"/>
        </w:rPr>
        <w:t xml:space="preserve">8. </w:t>
      </w:r>
      <w:r>
        <w:rPr>
          <w:b/>
          <w:sz w:val="32"/>
          <w:szCs w:val="32"/>
          <w:lang w:eastAsia="zh-CN"/>
        </w:rPr>
        <w:t>期刊、智库与科研成果评价：</w:t>
      </w:r>
      <w:r>
        <w:rPr>
          <w:sz w:val="32"/>
          <w:szCs w:val="32"/>
          <w:lang w:eastAsia="zh-CN"/>
        </w:rPr>
        <w:t>建设世界一流科技期刊成效评价，智库成果决策转化效果评估，科研成果社会影响力评价。</w:t>
      </w:r>
    </w:p>
    <w:p w14:paraId="449A978A">
      <w:pPr>
        <w:keepNext w:val="0"/>
        <w:keepLines w:val="0"/>
        <w:pageBreakBefore w:val="0"/>
        <w:kinsoku/>
        <w:wordWrap/>
        <w:overflowPunct/>
        <w:topLinePunct w:val="0"/>
        <w:autoSpaceDE/>
        <w:autoSpaceDN/>
        <w:bidi w:val="0"/>
        <w:adjustRightInd w:val="0"/>
        <w:snapToGrid w:val="0"/>
        <w:spacing w:after="0" w:line="348" w:lineRule="auto"/>
        <w:ind w:firstLine="640" w:firstLineChars="200"/>
        <w:textAlignment w:val="auto"/>
        <w:rPr>
          <w:rFonts w:hint="eastAsia"/>
          <w:sz w:val="32"/>
          <w:szCs w:val="32"/>
          <w:lang w:eastAsia="zh-CN"/>
        </w:rPr>
      </w:pPr>
    </w:p>
    <w:p w14:paraId="35153696">
      <w:pPr>
        <w:keepNext w:val="0"/>
        <w:keepLines w:val="0"/>
        <w:pageBreakBefore w:val="0"/>
        <w:kinsoku/>
        <w:wordWrap/>
        <w:overflowPunct/>
        <w:topLinePunct w:val="0"/>
        <w:autoSpaceDE/>
        <w:autoSpaceDN/>
        <w:bidi w:val="0"/>
        <w:adjustRightInd w:val="0"/>
        <w:snapToGrid w:val="0"/>
        <w:spacing w:after="0" w:line="348" w:lineRule="auto"/>
        <w:ind w:firstLine="640" w:firstLineChars="200"/>
        <w:textAlignment w:val="auto"/>
        <w:rPr>
          <w:rFonts w:hint="eastAsia"/>
          <w:sz w:val="32"/>
          <w:szCs w:val="32"/>
          <w:lang w:eastAsia="zh-CN"/>
        </w:rPr>
      </w:pPr>
    </w:p>
    <w:p w14:paraId="79B46D4F">
      <w:pPr>
        <w:keepNext w:val="0"/>
        <w:keepLines w:val="0"/>
        <w:pageBreakBefore w:val="0"/>
        <w:kinsoku/>
        <w:wordWrap/>
        <w:overflowPunct/>
        <w:topLinePunct w:val="0"/>
        <w:autoSpaceDE/>
        <w:autoSpaceDN/>
        <w:bidi w:val="0"/>
        <w:adjustRightInd w:val="0"/>
        <w:snapToGrid w:val="0"/>
        <w:spacing w:after="0" w:line="348" w:lineRule="auto"/>
        <w:ind w:firstLine="640" w:firstLineChars="200"/>
        <w:textAlignment w:val="auto"/>
        <w:rPr>
          <w:rFonts w:hint="eastAsia"/>
          <w:sz w:val="32"/>
          <w:szCs w:val="32"/>
          <w:lang w:eastAsia="zh-CN"/>
        </w:rPr>
      </w:pPr>
      <w:r>
        <w:rPr>
          <w:sz w:val="32"/>
          <w:szCs w:val="32"/>
          <w:lang w:eastAsia="zh-CN"/>
        </w:rPr>
        <w:t>注：成果须紧扣年会主题“</w:t>
      </w:r>
      <w:r>
        <w:rPr>
          <w:b/>
          <w:bCs/>
          <w:sz w:val="32"/>
          <w:szCs w:val="32"/>
          <w:lang w:eastAsia="zh-CN"/>
        </w:rPr>
        <w:t>聚焦评价改革突破口 引领强国建设新实践</w:t>
      </w:r>
      <w:r>
        <w:rPr>
          <w:sz w:val="32"/>
          <w:szCs w:val="32"/>
          <w:lang w:eastAsia="zh-CN"/>
        </w:rPr>
        <w:t>”，选题可参考但不</w:t>
      </w:r>
      <w:r>
        <w:rPr>
          <w:rFonts w:hint="eastAsia"/>
          <w:sz w:val="32"/>
          <w:szCs w:val="32"/>
          <w:lang w:eastAsia="zh-CN"/>
        </w:rPr>
        <w:t>限</w:t>
      </w:r>
      <w:r>
        <w:rPr>
          <w:sz w:val="32"/>
          <w:szCs w:val="32"/>
          <w:lang w:eastAsia="zh-CN"/>
        </w:rPr>
        <w:t>于上述方向。</w:t>
      </w:r>
    </w:p>
    <w:p w14:paraId="19D26A49">
      <w:pPr>
        <w:keepNext w:val="0"/>
        <w:keepLines w:val="0"/>
        <w:pageBreakBefore w:val="0"/>
        <w:kinsoku/>
        <w:wordWrap/>
        <w:overflowPunct/>
        <w:topLinePunct w:val="0"/>
        <w:autoSpaceDE/>
        <w:autoSpaceDN/>
        <w:bidi w:val="0"/>
        <w:adjustRightInd w:val="0"/>
        <w:snapToGrid w:val="0"/>
        <w:spacing w:after="0" w:line="348" w:lineRule="auto"/>
        <w:jc w:val="right"/>
        <w:textAlignment w:val="auto"/>
        <w:rPr>
          <w:rFonts w:hint="eastAsia"/>
          <w:sz w:val="32"/>
          <w:szCs w:val="32"/>
          <w:lang w:eastAsia="zh-CN"/>
        </w:rPr>
      </w:pPr>
    </w:p>
    <w:sectPr>
      <w:headerReference r:id="rId5" w:type="default"/>
      <w:footerReference r:id="rId6" w:type="default"/>
      <w:pgSz w:w="12240" w:h="15840"/>
      <w:pgMar w:top="1701" w:right="1587" w:bottom="1417" w:left="1587" w:header="720" w:footer="850" w:gutter="0"/>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ＭＳ 明朝">
    <w:altName w:val="宋体"/>
    <w:panose1 w:val="00000000000000000000"/>
    <w:charset w:val="86"/>
    <w:family w:val="auto"/>
    <w:pitch w:val="default"/>
    <w:sig w:usb0="00000000" w:usb1="00000000" w:usb2="00000000" w:usb3="00000000" w:csb0="00000000" w:csb1="00000000"/>
  </w:font>
  <w:font w:name="ＭＳ 明朝">
    <w:altName w:val="宋体"/>
    <w:panose1 w:val="00000000000000000000"/>
    <w:charset w:val="86"/>
    <w:family w:val="auto"/>
    <w:pitch w:val="default"/>
    <w:sig w:usb0="00000000" w:usb1="00000000" w:usb2="00000000" w:usb3="00000000" w:csb0="00000000" w:csb1="00000000"/>
  </w:font>
  <w:font w:name="仿宋">
    <w:panose1 w:val="02010609060101010101"/>
    <w:charset w:val="86"/>
    <w:family w:val="modern"/>
    <w:pitch w:val="default"/>
    <w:sig w:usb0="800002BF" w:usb1="38CF7CFA" w:usb2="00000016" w:usb3="00000000" w:csb0="00040001" w:csb1="00000000"/>
  </w:font>
  <w:font w:name="MS Gothic">
    <w:panose1 w:val="020B0609070205080204"/>
    <w:charset w:val="80"/>
    <w:family w:val="auto"/>
    <w:pitch w:val="default"/>
    <w:sig w:usb0="E00002FF" w:usb1="6AC7FDFB" w:usb2="08000012" w:usb3="00000000" w:csb0="4002009F" w:csb1="DFD70000"/>
  </w:font>
  <w:font w:name="Courier">
    <w:altName w:val="Courier New"/>
    <w:panose1 w:val="02070409020205020404"/>
    <w:charset w:val="00"/>
    <w:family w:val="auto"/>
    <w:pitch w:val="default"/>
    <w:sig w:usb0="00000000" w:usb1="00000000" w:usb2="00000000" w:usb3="00000000" w:csb0="00000000" w:csb1="00000000"/>
  </w:font>
  <w:font w:name="方正小标宋简体">
    <w:panose1 w:val="02010600010101010101"/>
    <w:charset w:val="86"/>
    <w:family w:val="auto"/>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ＭＳ 明朝">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rPr>
        <w:rFonts w:hint="default" w:ascii="Times New Roman" w:hAnsi="Times New Roman" w:eastAsia="仿宋_GB2312" w:cs="Times New Roman"/>
        <w:sz w:val="21"/>
        <w:szCs w:val="21"/>
      </w:rPr>
      <w:id w:val="-1703927369"/>
      <w:docPartObj>
        <w:docPartGallery w:val="autotext"/>
      </w:docPartObj>
    </w:sdtPr>
    <w:sdtEndPr>
      <w:rPr>
        <w:rFonts w:hint="eastAsia" w:ascii="仿宋_GB2312" w:hAnsi="Times New Roman" w:eastAsia="仿宋_GB2312" w:cs="Times New Roman"/>
        <w:sz w:val="28"/>
        <w:szCs w:val="21"/>
      </w:rPr>
    </w:sdtEndPr>
    <w:sdtContent>
      <w:p w14:paraId="75889396">
        <w:pPr>
          <w:pStyle w:val="24"/>
          <w:jc w:val="center"/>
          <w:rPr>
            <w:rFonts w:hint="eastAsia"/>
          </w:rPr>
        </w:pPr>
        <w:r>
          <w:rPr>
            <w:rFonts w:hint="default" w:ascii="Times New Roman" w:hAnsi="Times New Roman" w:eastAsia="仿宋_GB2312" w:cs="Times New Roman"/>
            <w:sz w:val="21"/>
            <w:szCs w:val="21"/>
          </w:rPr>
          <w:fldChar w:fldCharType="begin"/>
        </w:r>
        <w:r>
          <w:rPr>
            <w:rFonts w:hint="default" w:ascii="Times New Roman" w:hAnsi="Times New Roman" w:eastAsia="仿宋_GB2312" w:cs="Times New Roman"/>
            <w:sz w:val="21"/>
            <w:szCs w:val="21"/>
          </w:rPr>
          <w:instrText xml:space="preserve">PAGE   \* MERGEFORMAT</w:instrText>
        </w:r>
        <w:r>
          <w:rPr>
            <w:rFonts w:hint="default" w:ascii="Times New Roman" w:hAnsi="Times New Roman" w:eastAsia="仿宋_GB2312" w:cs="Times New Roman"/>
            <w:sz w:val="21"/>
            <w:szCs w:val="21"/>
          </w:rPr>
          <w:fldChar w:fldCharType="separate"/>
        </w:r>
        <w:r>
          <w:rPr>
            <w:rFonts w:hint="default" w:ascii="Times New Roman" w:hAnsi="Times New Roman" w:eastAsia="仿宋_GB2312" w:cs="Times New Roman"/>
            <w:sz w:val="21"/>
            <w:szCs w:val="21"/>
            <w:lang w:val="zh-CN" w:eastAsia="zh-CN"/>
          </w:rPr>
          <w:t>2</w:t>
        </w:r>
        <w:r>
          <w:rPr>
            <w:rFonts w:hint="default" w:ascii="Times New Roman" w:hAnsi="Times New Roman" w:eastAsia="仿宋_GB2312" w:cs="Times New Roman"/>
            <w:sz w:val="21"/>
            <w:szCs w:val="21"/>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EC01D0">
    <w:pPr>
      <w:pStyle w:val="25"/>
      <w:jc w:val="center"/>
      <w:rPr>
        <w:rFonts w:hint="eastAsia"/>
        <w:b/>
        <w:bCs/>
        <w:sz w:val="21"/>
        <w:szCs w:val="21"/>
        <w:lang w:eastAsia="zh-CN"/>
      </w:rPr>
    </w:pPr>
    <w:r>
      <w:rPr>
        <w:b/>
        <w:bCs/>
        <w:sz w:val="21"/>
        <w:szCs w:val="21"/>
        <w:lang w:eastAsia="zh-CN"/>
      </w:rPr>
      <w:t>第五届教育评价学术年会</w:t>
    </w:r>
    <w:r>
      <w:rPr>
        <w:rFonts w:hint="eastAsia"/>
        <w:b/>
        <w:bCs/>
        <w:sz w:val="21"/>
        <w:szCs w:val="21"/>
        <w:lang w:val="en-US" w:eastAsia="zh-CN"/>
      </w:rPr>
      <w:t>创新</w:t>
    </w:r>
    <w:r>
      <w:rPr>
        <w:b/>
        <w:bCs/>
        <w:sz w:val="21"/>
        <w:szCs w:val="21"/>
        <w:lang w:eastAsia="zh-CN"/>
      </w:rPr>
      <w:t>案例</w:t>
    </w:r>
    <w:r>
      <w:rPr>
        <w:rFonts w:hint="eastAsia"/>
        <w:b/>
        <w:bCs/>
        <w:sz w:val="21"/>
        <w:szCs w:val="21"/>
        <w:lang w:eastAsia="zh-CN"/>
      </w:rPr>
      <w:t>与</w:t>
    </w:r>
    <w:r>
      <w:rPr>
        <w:b/>
        <w:bCs/>
        <w:sz w:val="21"/>
        <w:szCs w:val="21"/>
        <w:lang w:eastAsia="zh-CN"/>
      </w:rPr>
      <w:t>展示</w:t>
    </w:r>
    <w:r>
      <w:rPr>
        <w:rFonts w:hint="eastAsia"/>
        <w:b/>
        <w:bCs/>
        <w:sz w:val="21"/>
        <w:szCs w:val="21"/>
        <w:lang w:eastAsia="zh-CN"/>
      </w:rPr>
      <w:t>成果</w:t>
    </w:r>
    <w:r>
      <w:rPr>
        <w:b/>
        <w:bCs/>
        <w:sz w:val="21"/>
        <w:szCs w:val="21"/>
        <w:lang w:eastAsia="zh-CN"/>
      </w:rPr>
      <w:t>征集指南</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FFFFF7E"/>
    <w:multiLevelType w:val="singleLevel"/>
    <w:tmpl w:val="FFFFFF7E"/>
    <w:lvl w:ilvl="0" w:tentative="0">
      <w:start w:val="1"/>
      <w:numFmt w:val="decimal"/>
      <w:pStyle w:val="20"/>
      <w:lvlText w:val="%1."/>
      <w:lvlJc w:val="left"/>
      <w:pPr>
        <w:tabs>
          <w:tab w:val="left" w:pos="1080"/>
        </w:tabs>
        <w:ind w:left="1080" w:hanging="360"/>
      </w:pPr>
    </w:lvl>
  </w:abstractNum>
  <w:abstractNum w:abstractNumId="1">
    <w:nsid w:val="FFFFFF7F"/>
    <w:multiLevelType w:val="singleLevel"/>
    <w:tmpl w:val="FFFFFF7F"/>
    <w:lvl w:ilvl="0" w:tentative="0">
      <w:start w:val="1"/>
      <w:numFmt w:val="decimal"/>
      <w:pStyle w:val="13"/>
      <w:lvlText w:val="%1."/>
      <w:lvlJc w:val="left"/>
      <w:pPr>
        <w:tabs>
          <w:tab w:val="left" w:pos="720"/>
        </w:tabs>
        <w:ind w:left="720" w:hanging="360"/>
      </w:pPr>
    </w:lvl>
  </w:abstractNum>
  <w:abstractNum w:abstractNumId="2">
    <w:nsid w:val="FFFFFF82"/>
    <w:multiLevelType w:val="singleLevel"/>
    <w:tmpl w:val="FFFFFF82"/>
    <w:lvl w:ilvl="0" w:tentative="0">
      <w:start w:val="1"/>
      <w:numFmt w:val="bullet"/>
      <w:pStyle w:val="18"/>
      <w:lvlText w:val=""/>
      <w:lvlJc w:val="left"/>
      <w:pPr>
        <w:tabs>
          <w:tab w:val="left" w:pos="1080"/>
        </w:tabs>
        <w:ind w:left="1080" w:hanging="360"/>
      </w:pPr>
      <w:rPr>
        <w:rFonts w:hint="default" w:ascii="Symbol" w:hAnsi="Symbol"/>
      </w:rPr>
    </w:lvl>
  </w:abstractNum>
  <w:abstractNum w:abstractNumId="3">
    <w:nsid w:val="FFFFFF83"/>
    <w:multiLevelType w:val="singleLevel"/>
    <w:tmpl w:val="FFFFFF83"/>
    <w:lvl w:ilvl="0" w:tentative="0">
      <w:start w:val="1"/>
      <w:numFmt w:val="bullet"/>
      <w:pStyle w:val="23"/>
      <w:lvlText w:val=""/>
      <w:lvlJc w:val="left"/>
      <w:pPr>
        <w:tabs>
          <w:tab w:val="left" w:pos="720"/>
        </w:tabs>
        <w:ind w:left="720" w:hanging="360"/>
      </w:pPr>
      <w:rPr>
        <w:rFonts w:hint="default" w:ascii="Symbol" w:hAnsi="Symbol"/>
      </w:rPr>
    </w:lvl>
  </w:abstractNum>
  <w:abstractNum w:abstractNumId="4">
    <w:nsid w:val="FFFFFF88"/>
    <w:multiLevelType w:val="singleLevel"/>
    <w:tmpl w:val="FFFFFF88"/>
    <w:lvl w:ilvl="0" w:tentative="0">
      <w:start w:val="1"/>
      <w:numFmt w:val="decimal"/>
      <w:pStyle w:val="14"/>
      <w:lvlText w:val="%1."/>
      <w:lvlJc w:val="left"/>
      <w:pPr>
        <w:tabs>
          <w:tab w:val="left" w:pos="360"/>
        </w:tabs>
        <w:ind w:left="360" w:hanging="360"/>
      </w:pPr>
    </w:lvl>
  </w:abstractNum>
  <w:abstractNum w:abstractNumId="5">
    <w:nsid w:val="FFFFFF89"/>
    <w:multiLevelType w:val="singleLevel"/>
    <w:tmpl w:val="FFFFFF89"/>
    <w:lvl w:ilvl="0" w:tentative="0">
      <w:start w:val="1"/>
      <w:numFmt w:val="bullet"/>
      <w:pStyle w:val="16"/>
      <w:lvlText w:val=""/>
      <w:lvlJc w:val="left"/>
      <w:pPr>
        <w:tabs>
          <w:tab w:val="left" w:pos="360"/>
        </w:tabs>
        <w:ind w:left="360" w:hanging="360"/>
      </w:pPr>
      <w:rPr>
        <w:rFonts w:hint="default" w:ascii="Symbol" w:hAnsi="Symbol"/>
      </w:rPr>
    </w:lvl>
  </w:abstractNum>
  <w:num w:numId="1">
    <w:abstractNumId w:val="1"/>
  </w:num>
  <w:num w:numId="2">
    <w:abstractNumId w:val="4"/>
  </w:num>
  <w:num w:numId="3">
    <w:abstractNumId w:val="5"/>
  </w:num>
  <w:num w:numId="4">
    <w:abstractNumId w:val="2"/>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trackRevisions w:val="1"/>
  <w:documentProtection w:enforcement="0"/>
  <w:defaultTabStop w:val="720"/>
  <w:characterSpacingControl w:val="doNotCompress"/>
  <w:footnotePr>
    <w:footnote w:id="0"/>
    <w:footnote w:id="1"/>
  </w:footnotePr>
  <w:endnotePr>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7730"/>
    <w:rsid w:val="00001A40"/>
    <w:rsid w:val="00026B8B"/>
    <w:rsid w:val="00032F3D"/>
    <w:rsid w:val="00034616"/>
    <w:rsid w:val="00056FC5"/>
    <w:rsid w:val="0006063C"/>
    <w:rsid w:val="00065362"/>
    <w:rsid w:val="0007477B"/>
    <w:rsid w:val="000B2491"/>
    <w:rsid w:val="000D3395"/>
    <w:rsid w:val="000E64D9"/>
    <w:rsid w:val="00100820"/>
    <w:rsid w:val="00110164"/>
    <w:rsid w:val="00136445"/>
    <w:rsid w:val="0015074B"/>
    <w:rsid w:val="0018644D"/>
    <w:rsid w:val="001A4080"/>
    <w:rsid w:val="00225A24"/>
    <w:rsid w:val="00244EF6"/>
    <w:rsid w:val="002525A3"/>
    <w:rsid w:val="00252730"/>
    <w:rsid w:val="002756CE"/>
    <w:rsid w:val="0029639D"/>
    <w:rsid w:val="002C07F3"/>
    <w:rsid w:val="00326F90"/>
    <w:rsid w:val="00344847"/>
    <w:rsid w:val="00346171"/>
    <w:rsid w:val="00351DC1"/>
    <w:rsid w:val="00371E0B"/>
    <w:rsid w:val="0037406B"/>
    <w:rsid w:val="0039207C"/>
    <w:rsid w:val="003C256F"/>
    <w:rsid w:val="003E5D23"/>
    <w:rsid w:val="00403428"/>
    <w:rsid w:val="004128F1"/>
    <w:rsid w:val="00456437"/>
    <w:rsid w:val="004876B6"/>
    <w:rsid w:val="004C7642"/>
    <w:rsid w:val="00501507"/>
    <w:rsid w:val="005141FC"/>
    <w:rsid w:val="005631AD"/>
    <w:rsid w:val="00566182"/>
    <w:rsid w:val="00586FC0"/>
    <w:rsid w:val="00593A1A"/>
    <w:rsid w:val="00597AD2"/>
    <w:rsid w:val="005D5E3C"/>
    <w:rsid w:val="005E1DDC"/>
    <w:rsid w:val="00601E52"/>
    <w:rsid w:val="00602B65"/>
    <w:rsid w:val="00616FBF"/>
    <w:rsid w:val="006304EC"/>
    <w:rsid w:val="006807AF"/>
    <w:rsid w:val="006A5BAE"/>
    <w:rsid w:val="006A69DF"/>
    <w:rsid w:val="006B222E"/>
    <w:rsid w:val="006B7EB9"/>
    <w:rsid w:val="006E5C58"/>
    <w:rsid w:val="006E5D60"/>
    <w:rsid w:val="00717B00"/>
    <w:rsid w:val="00720A4A"/>
    <w:rsid w:val="00721785"/>
    <w:rsid w:val="00724626"/>
    <w:rsid w:val="0073530C"/>
    <w:rsid w:val="00750BBD"/>
    <w:rsid w:val="00763558"/>
    <w:rsid w:val="00764FEF"/>
    <w:rsid w:val="00770589"/>
    <w:rsid w:val="00782B7A"/>
    <w:rsid w:val="00794B43"/>
    <w:rsid w:val="00797712"/>
    <w:rsid w:val="007A13C6"/>
    <w:rsid w:val="007A52FE"/>
    <w:rsid w:val="007B215D"/>
    <w:rsid w:val="007E17CE"/>
    <w:rsid w:val="007E7232"/>
    <w:rsid w:val="007F66E9"/>
    <w:rsid w:val="0082179E"/>
    <w:rsid w:val="00847722"/>
    <w:rsid w:val="008557BC"/>
    <w:rsid w:val="00861DD3"/>
    <w:rsid w:val="00897B1F"/>
    <w:rsid w:val="008A059F"/>
    <w:rsid w:val="008E1627"/>
    <w:rsid w:val="00924703"/>
    <w:rsid w:val="00991442"/>
    <w:rsid w:val="009E7B3A"/>
    <w:rsid w:val="009F41C6"/>
    <w:rsid w:val="009F6222"/>
    <w:rsid w:val="00A04AAF"/>
    <w:rsid w:val="00A154F7"/>
    <w:rsid w:val="00A225D8"/>
    <w:rsid w:val="00A500EE"/>
    <w:rsid w:val="00A50BBF"/>
    <w:rsid w:val="00A61647"/>
    <w:rsid w:val="00A81359"/>
    <w:rsid w:val="00AA02ED"/>
    <w:rsid w:val="00AA1D8D"/>
    <w:rsid w:val="00AC1BED"/>
    <w:rsid w:val="00AE29E2"/>
    <w:rsid w:val="00B07664"/>
    <w:rsid w:val="00B3151E"/>
    <w:rsid w:val="00B47730"/>
    <w:rsid w:val="00BA6F18"/>
    <w:rsid w:val="00BC208A"/>
    <w:rsid w:val="00BE0FCB"/>
    <w:rsid w:val="00BE46FA"/>
    <w:rsid w:val="00C5297C"/>
    <w:rsid w:val="00C75604"/>
    <w:rsid w:val="00CB0664"/>
    <w:rsid w:val="00CB784E"/>
    <w:rsid w:val="00CF372E"/>
    <w:rsid w:val="00D05E72"/>
    <w:rsid w:val="00D068E3"/>
    <w:rsid w:val="00D444D1"/>
    <w:rsid w:val="00DA756C"/>
    <w:rsid w:val="00DC0913"/>
    <w:rsid w:val="00DE22E8"/>
    <w:rsid w:val="00DF299E"/>
    <w:rsid w:val="00E34C95"/>
    <w:rsid w:val="00E5765B"/>
    <w:rsid w:val="00E75E0F"/>
    <w:rsid w:val="00E94043"/>
    <w:rsid w:val="00EA706F"/>
    <w:rsid w:val="00EB254B"/>
    <w:rsid w:val="00EE0A91"/>
    <w:rsid w:val="00EF7560"/>
    <w:rsid w:val="00F10777"/>
    <w:rsid w:val="00F2142C"/>
    <w:rsid w:val="00F24185"/>
    <w:rsid w:val="00F6395E"/>
    <w:rsid w:val="00F70901"/>
    <w:rsid w:val="00F97B45"/>
    <w:rsid w:val="00FB5D34"/>
    <w:rsid w:val="00FC693F"/>
    <w:rsid w:val="00FD5C82"/>
    <w:rsid w:val="00FE23E7"/>
    <w:rsid w:val="00FE2961"/>
    <w:rsid w:val="00FF64D4"/>
    <w:rsid w:val="01FF4EDD"/>
    <w:rsid w:val="097B5199"/>
    <w:rsid w:val="0CA072C0"/>
    <w:rsid w:val="0E2F6F8A"/>
    <w:rsid w:val="15E52C78"/>
    <w:rsid w:val="22AE3E81"/>
    <w:rsid w:val="2B3C400C"/>
    <w:rsid w:val="2C783EFA"/>
    <w:rsid w:val="330B7D6A"/>
    <w:rsid w:val="502460D9"/>
    <w:rsid w:val="5127608E"/>
    <w:rsid w:val="51CF1C5C"/>
    <w:rsid w:val="59F52EB6"/>
    <w:rsid w:val="5D8542E1"/>
    <w:rsid w:val="66F25863"/>
    <w:rsid w:val="6F140B1F"/>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ja-JP"/>
  <w:clrSchemeMapping w:bg1="light1" w:t1="dark1" w:bg2="light2" w:t2="dark2" w:accent1="accent1" w:accent2="accent2" w:accent3="accent3" w:accent4="accent4" w:accent5="accent5" w:accent6="accent6" w:hyperlink="hyperlink" w:followedHyperlink="followedHyperlink"/>
  <w:doNotIncludeSubdocsInStats/>
  <w14:defaultImageDpi w14:val="300"/>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qFormat="1" w:uiPriority="99" w:semiHidden="0" w:name="macro"/>
    <w:lsdException w:uiPriority="99" w:name="toa heading"/>
    <w:lsdException w:qFormat="1" w:uiPriority="99" w:semiHidden="0" w:name="List"/>
    <w:lsdException w:qFormat="1" w:uiPriority="99" w:semiHidden="0" w:name="List Bullet"/>
    <w:lsdException w:qFormat="1" w:uiPriority="99" w:semiHidden="0" w:name="List Number"/>
    <w:lsdException w:qFormat="1" w:uiPriority="99" w:semiHidden="0" w:name="List 2"/>
    <w:lsdException w:qFormat="1" w:uiPriority="99" w:semiHidden="0" w:name="List 3"/>
    <w:lsdException w:uiPriority="99" w:name="List 4"/>
    <w:lsdException w:uiPriority="99" w:name="List 5"/>
    <w:lsdException w:qFormat="1" w:uiPriority="99" w:semiHidden="0" w:name="List Bullet 2"/>
    <w:lsdException w:qFormat="1" w:uiPriority="99" w:semiHidden="0" w:name="List Bullet 3"/>
    <w:lsdException w:uiPriority="99" w:name="List Bullet 4"/>
    <w:lsdException w:uiPriority="99" w:name="List Bullet 5"/>
    <w:lsdException w:qFormat="1" w:uiPriority="99" w:semiHidden="0" w:name="List Number 2"/>
    <w:lsdException w:qFormat="1" w:uiPriority="99" w:semiHidden="0"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semiHidden="0" w:name="Body Text"/>
    <w:lsdException w:uiPriority="99" w:name="Body Text Indent"/>
    <w:lsdException w:qFormat="1" w:uiPriority="99" w:semiHidden="0" w:name="List Continue"/>
    <w:lsdException w:qFormat="1" w:uiPriority="99" w:semiHidden="0" w:name="List Continue 2"/>
    <w:lsdException w:qFormat="1" w:uiPriority="99" w:semiHidden="0"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qFormat="1" w:uiPriority="99" w:semiHidden="0" w:name="Body Text 2"/>
    <w:lsdException w:qFormat="1" w:uiPriority="99" w:semiHidden="0"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qFormat="1" w:unhideWhenUsed="0" w:uiPriority="1" w:semiHidden="0" w:name="No Spacing"/>
    <w:lsdException w:qFormat="1" w:unhideWhenUsed="0" w:uiPriority="60" w:semiHidden="0" w:name="Light Shading"/>
    <w:lsdException w:qFormat="1" w:unhideWhenUsed="0" w:uiPriority="61" w:semiHidden="0" w:name="Light List"/>
    <w:lsdException w:qFormat="1" w:unhideWhenUsed="0" w:uiPriority="62" w:semiHidden="0" w:name="Light Grid"/>
    <w:lsdException w:qFormat="1" w:unhideWhenUsed="0" w:uiPriority="63" w:semiHidden="0" w:name="Medium Shading 1"/>
    <w:lsdException w:qFormat="1" w:unhideWhenUsed="0" w:uiPriority="64" w:semiHidden="0" w:name="Medium Shading 2"/>
    <w:lsdException w:qFormat="1" w:unhideWhenUsed="0" w:uiPriority="65" w:semiHidden="0" w:name="Medium List 1"/>
    <w:lsdException w:qFormat="1" w:unhideWhenUsed="0" w:uiPriority="66" w:semiHidden="0" w:name="Medium List 2"/>
    <w:lsdException w:qFormat="1" w:unhideWhenUsed="0" w:uiPriority="67" w:semiHidden="0" w:name="Medium Grid 1"/>
    <w:lsdException w:qFormat="1" w:unhideWhenUsed="0" w:uiPriority="68" w:semiHidden="0" w:name="Medium Grid 2"/>
    <w:lsdException w:qFormat="1" w:unhideWhenUsed="0" w:uiPriority="69" w:semiHidden="0" w:name="Medium Grid 3"/>
    <w:lsdException w:qFormat="1" w:unhideWhenUsed="0" w:uiPriority="70" w:semiHidden="0" w:name="Dark List"/>
    <w:lsdException w:qFormat="1" w:unhideWhenUsed="0" w:uiPriority="71" w:semiHidden="0" w:name="Colorful Shading"/>
    <w:lsdException w:qFormat="1" w:unhideWhenUsed="0" w:uiPriority="72" w:semiHidden="0" w:name="Colorful List"/>
    <w:lsdException w:qFormat="1" w:unhideWhenUsed="0" w:uiPriority="73" w:semiHidden="0" w:name="Colorful Grid"/>
    <w:lsdException w:qFormat="1" w:unhideWhenUsed="0" w:uiPriority="60" w:semiHidden="0" w:name="Light Shading Accent 1"/>
    <w:lsdException w:qFormat="1" w:unhideWhenUsed="0" w:uiPriority="61" w:semiHidden="0" w:name="Light List Accent 1"/>
    <w:lsdException w:qFormat="1" w:unhideWhenUsed="0" w:uiPriority="62" w:semiHidden="0" w:name="Light Grid Accent 1"/>
    <w:lsdException w:qFormat="1" w:unhideWhenUsed="0" w:uiPriority="63" w:semiHidden="0" w:name="Medium Shading 1 Accent 1"/>
    <w:lsdException w:qFormat="1" w:unhideWhenUsed="0" w:uiPriority="64" w:semiHidden="0" w:name="Medium Shading 2 Accent 1"/>
    <w:lsdException w:qFormat="1"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qFormat="1" w:unhideWhenUsed="0" w:uiPriority="66" w:semiHidden="0" w:name="Medium List 2 Accent 1"/>
    <w:lsdException w:qFormat="1" w:unhideWhenUsed="0" w:uiPriority="67" w:semiHidden="0" w:name="Medium Grid 1 Accent 1"/>
    <w:lsdException w:qFormat="1" w:unhideWhenUsed="0" w:uiPriority="68" w:semiHidden="0" w:name="Medium Grid 2 Accent 1"/>
    <w:lsdException w:qFormat="1" w:unhideWhenUsed="0" w:uiPriority="69" w:semiHidden="0" w:name="Medium Grid 3 Accent 1"/>
    <w:lsdException w:qFormat="1" w:unhideWhenUsed="0" w:uiPriority="70" w:semiHidden="0" w:name="Dark List Accent 1"/>
    <w:lsdException w:qFormat="1" w:unhideWhenUsed="0" w:uiPriority="71" w:semiHidden="0" w:name="Colorful Shading Accent 1"/>
    <w:lsdException w:qFormat="1" w:unhideWhenUsed="0" w:uiPriority="72" w:semiHidden="0" w:name="Colorful List Accent 1"/>
    <w:lsdException w:qFormat="1" w:unhideWhenUsed="0" w:uiPriority="73" w:semiHidden="0" w:name="Colorful Grid Accent 1"/>
    <w:lsdException w:qFormat="1" w:unhideWhenUsed="0" w:uiPriority="60" w:semiHidden="0" w:name="Light Shading Accent 2"/>
    <w:lsdException w:qFormat="1" w:unhideWhenUsed="0" w:uiPriority="61" w:semiHidden="0" w:name="Light List Accent 2"/>
    <w:lsdException w:qFormat="1" w:unhideWhenUsed="0" w:uiPriority="62" w:semiHidden="0" w:name="Light Grid Accent 2"/>
    <w:lsdException w:qFormat="1" w:unhideWhenUsed="0" w:uiPriority="63" w:semiHidden="0" w:name="Medium Shading 1 Accent 2"/>
    <w:lsdException w:qFormat="1" w:unhideWhenUsed="0" w:uiPriority="64" w:semiHidden="0" w:name="Medium Shading 2 Accent 2"/>
    <w:lsdException w:qFormat="1" w:unhideWhenUsed="0" w:uiPriority="65" w:semiHidden="0" w:name="Medium List 1 Accent 2"/>
    <w:lsdException w:qFormat="1" w:unhideWhenUsed="0" w:uiPriority="66" w:semiHidden="0" w:name="Medium List 2 Accent 2"/>
    <w:lsdException w:qFormat="1" w:unhideWhenUsed="0" w:uiPriority="67" w:semiHidden="0" w:name="Medium Grid 1 Accent 2"/>
    <w:lsdException w:qFormat="1" w:unhideWhenUsed="0" w:uiPriority="68" w:semiHidden="0" w:name="Medium Grid 2 Accent 2"/>
    <w:lsdException w:qFormat="1" w:unhideWhenUsed="0" w:uiPriority="69" w:semiHidden="0" w:name="Medium Grid 3 Accent 2"/>
    <w:lsdException w:qFormat="1" w:unhideWhenUsed="0" w:uiPriority="70" w:semiHidden="0" w:name="Dark List Accent 2"/>
    <w:lsdException w:qFormat="1" w:unhideWhenUsed="0" w:uiPriority="71" w:semiHidden="0" w:name="Colorful Shading Accent 2"/>
    <w:lsdException w:qFormat="1" w:unhideWhenUsed="0" w:uiPriority="72" w:semiHidden="0" w:name="Colorful List Accent 2"/>
    <w:lsdException w:qFormat="1" w:unhideWhenUsed="0" w:uiPriority="73" w:semiHidden="0" w:name="Colorful Grid Accent 2"/>
    <w:lsdException w:qFormat="1" w:unhideWhenUsed="0" w:uiPriority="60" w:semiHidden="0" w:name="Light Shading Accent 3"/>
    <w:lsdException w:qFormat="1" w:unhideWhenUsed="0" w:uiPriority="61" w:semiHidden="0" w:name="Light List Accent 3"/>
    <w:lsdException w:qFormat="1" w:unhideWhenUsed="0" w:uiPriority="62" w:semiHidden="0" w:name="Light Grid Accent 3"/>
    <w:lsdException w:qFormat="1" w:unhideWhenUsed="0" w:uiPriority="63" w:semiHidden="0" w:name="Medium Shading 1 Accent 3"/>
    <w:lsdException w:qFormat="1" w:unhideWhenUsed="0" w:uiPriority="64" w:semiHidden="0" w:name="Medium Shading 2 Accent 3"/>
    <w:lsdException w:qFormat="1" w:unhideWhenUsed="0" w:uiPriority="65" w:semiHidden="0" w:name="Medium List 1 Accent 3"/>
    <w:lsdException w:qFormat="1" w:unhideWhenUsed="0" w:uiPriority="66" w:semiHidden="0" w:name="Medium List 2 Accent 3"/>
    <w:lsdException w:qFormat="1" w:unhideWhenUsed="0" w:uiPriority="67" w:semiHidden="0" w:name="Medium Grid 1 Accent 3"/>
    <w:lsdException w:qFormat="1" w:unhideWhenUsed="0" w:uiPriority="68" w:semiHidden="0" w:name="Medium Grid 2 Accent 3"/>
    <w:lsdException w:qFormat="1" w:unhideWhenUsed="0" w:uiPriority="69" w:semiHidden="0" w:name="Medium Grid 3 Accent 3"/>
    <w:lsdException w:qFormat="1" w:unhideWhenUsed="0" w:uiPriority="70" w:semiHidden="0" w:name="Dark List Accent 3"/>
    <w:lsdException w:qFormat="1" w:unhideWhenUsed="0" w:uiPriority="71" w:semiHidden="0" w:name="Colorful Shading Accent 3"/>
    <w:lsdException w:qFormat="1" w:unhideWhenUsed="0" w:uiPriority="72" w:semiHidden="0" w:name="Colorful List Accent 3"/>
    <w:lsdException w:qFormat="1" w:unhideWhenUsed="0" w:uiPriority="73" w:semiHidden="0" w:name="Colorful Grid Accent 3"/>
    <w:lsdException w:qFormat="1" w:unhideWhenUsed="0" w:uiPriority="60" w:semiHidden="0" w:name="Light Shading Accent 4"/>
    <w:lsdException w:qFormat="1" w:unhideWhenUsed="0" w:uiPriority="61" w:semiHidden="0" w:name="Light List Accent 4"/>
    <w:lsdException w:qFormat="1" w:unhideWhenUsed="0" w:uiPriority="62" w:semiHidden="0" w:name="Light Grid Accent 4"/>
    <w:lsdException w:qFormat="1" w:unhideWhenUsed="0" w:uiPriority="63" w:semiHidden="0" w:name="Medium Shading 1 Accent 4"/>
    <w:lsdException w:qFormat="1" w:unhideWhenUsed="0" w:uiPriority="64" w:semiHidden="0" w:name="Medium Shading 2 Accent 4"/>
    <w:lsdException w:qFormat="1" w:unhideWhenUsed="0" w:uiPriority="65" w:semiHidden="0" w:name="Medium List 1 Accent 4"/>
    <w:lsdException w:qFormat="1" w:unhideWhenUsed="0" w:uiPriority="66" w:semiHidden="0" w:name="Medium List 2 Accent 4"/>
    <w:lsdException w:qFormat="1" w:unhideWhenUsed="0" w:uiPriority="67" w:semiHidden="0" w:name="Medium Grid 1 Accent 4"/>
    <w:lsdException w:qFormat="1" w:unhideWhenUsed="0" w:uiPriority="68" w:semiHidden="0" w:name="Medium Grid 2 Accent 4"/>
    <w:lsdException w:qFormat="1" w:unhideWhenUsed="0" w:uiPriority="69" w:semiHidden="0" w:name="Medium Grid 3 Accent 4"/>
    <w:lsdException w:qFormat="1" w:unhideWhenUsed="0" w:uiPriority="70" w:semiHidden="0" w:name="Dark List Accent 4"/>
    <w:lsdException w:qFormat="1" w:unhideWhenUsed="0" w:uiPriority="71" w:semiHidden="0" w:name="Colorful Shading Accent 4"/>
    <w:lsdException w:qFormat="1" w:unhideWhenUsed="0" w:uiPriority="72" w:semiHidden="0" w:name="Colorful List Accent 4"/>
    <w:lsdException w:qFormat="1" w:unhideWhenUsed="0" w:uiPriority="73" w:semiHidden="0" w:name="Colorful Grid Accent 4"/>
    <w:lsdException w:qFormat="1" w:unhideWhenUsed="0" w:uiPriority="60" w:semiHidden="0" w:name="Light Shading Accent 5"/>
    <w:lsdException w:qFormat="1" w:unhideWhenUsed="0" w:uiPriority="61" w:semiHidden="0" w:name="Light List Accent 5"/>
    <w:lsdException w:qFormat="1" w:unhideWhenUsed="0" w:uiPriority="62" w:semiHidden="0" w:name="Light Grid Accent 5"/>
    <w:lsdException w:qFormat="1" w:unhideWhenUsed="0" w:uiPriority="63" w:semiHidden="0" w:name="Medium Shading 1 Accent 5"/>
    <w:lsdException w:qFormat="1" w:unhideWhenUsed="0" w:uiPriority="64" w:semiHidden="0" w:name="Medium Shading 2 Accent 5"/>
    <w:lsdException w:qFormat="1" w:unhideWhenUsed="0" w:uiPriority="65" w:semiHidden="0" w:name="Medium List 1 Accent 5"/>
    <w:lsdException w:qFormat="1" w:unhideWhenUsed="0" w:uiPriority="66" w:semiHidden="0" w:name="Medium List 2 Accent 5"/>
    <w:lsdException w:qFormat="1" w:unhideWhenUsed="0" w:uiPriority="67" w:semiHidden="0" w:name="Medium Grid 1 Accent 5"/>
    <w:lsdException w:qFormat="1" w:unhideWhenUsed="0" w:uiPriority="68" w:semiHidden="0" w:name="Medium Grid 2 Accent 5"/>
    <w:lsdException w:qFormat="1" w:unhideWhenUsed="0" w:uiPriority="69" w:semiHidden="0" w:name="Medium Grid 3 Accent 5"/>
    <w:lsdException w:qFormat="1" w:unhideWhenUsed="0" w:uiPriority="70" w:semiHidden="0" w:name="Dark List Accent 5"/>
    <w:lsdException w:qFormat="1" w:unhideWhenUsed="0" w:uiPriority="71" w:semiHidden="0" w:name="Colorful Shading Accent 5"/>
    <w:lsdException w:qFormat="1" w:unhideWhenUsed="0" w:uiPriority="72" w:semiHidden="0" w:name="Colorful List Accent 5"/>
    <w:lsdException w:qFormat="1" w:unhideWhenUsed="0" w:uiPriority="73" w:semiHidden="0" w:name="Colorful Grid Accent 5"/>
    <w:lsdException w:qFormat="1" w:unhideWhenUsed="0" w:uiPriority="60" w:semiHidden="0" w:name="Light Shading Accent 6"/>
    <w:lsdException w:qFormat="1" w:unhideWhenUsed="0" w:uiPriority="61" w:semiHidden="0" w:name="Light List Accent 6"/>
    <w:lsdException w:qFormat="1" w:unhideWhenUsed="0" w:uiPriority="62" w:semiHidden="0" w:name="Light Grid Accent 6"/>
    <w:lsdException w:qFormat="1" w:unhideWhenUsed="0" w:uiPriority="63" w:semiHidden="0" w:name="Medium Shading 1 Accent 6"/>
    <w:lsdException w:qFormat="1" w:unhideWhenUsed="0" w:uiPriority="64" w:semiHidden="0" w:name="Medium Shading 2 Accent 6"/>
    <w:lsdException w:qFormat="1" w:unhideWhenUsed="0" w:uiPriority="65" w:semiHidden="0" w:name="Medium List 1 Accent 6"/>
    <w:lsdException w:qFormat="1" w:unhideWhenUsed="0" w:uiPriority="66" w:semiHidden="0" w:name="Medium List 2 Accent 6"/>
    <w:lsdException w:qFormat="1" w:unhideWhenUsed="0" w:uiPriority="67" w:semiHidden="0" w:name="Medium Grid 1 Accent 6"/>
    <w:lsdException w:qFormat="1" w:unhideWhenUsed="0" w:uiPriority="68" w:semiHidden="0" w:name="Medium Grid 2 Accent 6"/>
    <w:lsdException w:qFormat="1" w:unhideWhenUsed="0" w:uiPriority="69" w:semiHidden="0" w:name="Medium Grid 3 Accent 6"/>
    <w:lsdException w:qFormat="1" w:unhideWhenUsed="0" w:uiPriority="70" w:semiHidden="0" w:name="Dark List Accent 6"/>
    <w:lsdException w:qFormat="1" w:unhideWhenUsed="0" w:uiPriority="71" w:semiHidden="0" w:name="Colorful Shading Accent 6"/>
    <w:lsdException w:qFormat="1" w:unhideWhenUsed="0" w:uiPriority="72" w:semiHidden="0" w:name="Colorful List Accent 6"/>
    <w:lsdException w:qFormat="1" w:unhideWhenUsed="0" w:uiPriority="73" w:semiHidden="0" w:name="Colorful Grid Accent 6"/>
  </w:latentStyles>
  <w:style w:type="paragraph" w:default="1" w:styleId="1">
    <w:name w:val="Normal"/>
    <w:qFormat/>
    <w:uiPriority w:val="0"/>
    <w:pPr>
      <w:spacing w:after="200" w:line="276" w:lineRule="auto"/>
    </w:pPr>
    <w:rPr>
      <w:rFonts w:ascii="仿宋" w:hAnsi="仿宋" w:eastAsia="仿宋" w:cstheme="minorBidi"/>
      <w:sz w:val="30"/>
      <w:szCs w:val="22"/>
      <w:lang w:val="en-US" w:eastAsia="en-US" w:bidi="ar-SA"/>
    </w:rPr>
  </w:style>
  <w:style w:type="paragraph" w:styleId="3">
    <w:name w:val="heading 1"/>
    <w:basedOn w:val="1"/>
    <w:next w:val="1"/>
    <w:link w:val="138"/>
    <w:qFormat/>
    <w:uiPriority w:val="9"/>
    <w:pPr>
      <w:keepNext/>
      <w:keepLines/>
      <w:spacing w:before="480" w:after="0"/>
      <w:outlineLvl w:val="0"/>
    </w:pPr>
    <w:rPr>
      <w:rFonts w:asciiTheme="majorHAnsi" w:hAnsiTheme="majorHAnsi" w:eastAsiaTheme="majorEastAsia" w:cstheme="majorBidi"/>
      <w:b/>
      <w:bCs/>
      <w:color w:val="376092" w:themeColor="accent1" w:themeShade="BF"/>
      <w:sz w:val="28"/>
      <w:szCs w:val="28"/>
    </w:rPr>
  </w:style>
  <w:style w:type="paragraph" w:styleId="4">
    <w:name w:val="heading 2"/>
    <w:basedOn w:val="1"/>
    <w:next w:val="1"/>
    <w:link w:val="139"/>
    <w:unhideWhenUsed/>
    <w:qFormat/>
    <w:uiPriority w:val="9"/>
    <w:pPr>
      <w:keepNext/>
      <w:keepLines/>
      <w:spacing w:before="200" w:after="0"/>
      <w:outlineLvl w:val="1"/>
    </w:pPr>
    <w:rPr>
      <w:rFonts w:asciiTheme="majorHAnsi" w:hAnsiTheme="majorHAnsi" w:eastAsiaTheme="majorEastAsia" w:cstheme="majorBidi"/>
      <w:b/>
      <w:bCs/>
      <w:color w:val="4F81BD" w:themeColor="accent1"/>
      <w:sz w:val="26"/>
      <w:szCs w:val="26"/>
      <w14:textFill>
        <w14:solidFill>
          <w14:schemeClr w14:val="accent1"/>
        </w14:solidFill>
      </w14:textFill>
    </w:rPr>
  </w:style>
  <w:style w:type="paragraph" w:styleId="5">
    <w:name w:val="heading 3"/>
    <w:basedOn w:val="1"/>
    <w:next w:val="1"/>
    <w:link w:val="140"/>
    <w:unhideWhenUsed/>
    <w:qFormat/>
    <w:uiPriority w:val="9"/>
    <w:pPr>
      <w:keepNext/>
      <w:keepLines/>
      <w:spacing w:before="200" w:after="0"/>
      <w:outlineLvl w:val="2"/>
    </w:pPr>
    <w:rPr>
      <w:rFonts w:asciiTheme="majorHAnsi" w:hAnsiTheme="majorHAnsi" w:eastAsiaTheme="majorEastAsia" w:cstheme="majorBidi"/>
      <w:b/>
      <w:bCs/>
      <w:color w:val="4F81BD" w:themeColor="accent1"/>
      <w14:textFill>
        <w14:solidFill>
          <w14:schemeClr w14:val="accent1"/>
        </w14:solidFill>
      </w14:textFill>
    </w:rPr>
  </w:style>
  <w:style w:type="paragraph" w:styleId="6">
    <w:name w:val="heading 4"/>
    <w:basedOn w:val="1"/>
    <w:next w:val="1"/>
    <w:link w:val="150"/>
    <w:semiHidden/>
    <w:unhideWhenUsed/>
    <w:qFormat/>
    <w:uiPriority w:val="9"/>
    <w:pPr>
      <w:keepNext/>
      <w:keepLines/>
      <w:spacing w:before="200" w:after="0"/>
      <w:outlineLvl w:val="3"/>
    </w:pPr>
    <w:rPr>
      <w:rFonts w:asciiTheme="majorHAnsi" w:hAnsiTheme="majorHAnsi" w:eastAsiaTheme="majorEastAsia" w:cstheme="majorBidi"/>
      <w:b/>
      <w:bCs/>
      <w:i/>
      <w:iCs/>
      <w:color w:val="4F81BD" w:themeColor="accent1"/>
      <w14:textFill>
        <w14:solidFill>
          <w14:schemeClr w14:val="accent1"/>
        </w14:solidFill>
      </w14:textFill>
    </w:rPr>
  </w:style>
  <w:style w:type="paragraph" w:styleId="7">
    <w:name w:val="heading 5"/>
    <w:basedOn w:val="1"/>
    <w:next w:val="1"/>
    <w:link w:val="151"/>
    <w:semiHidden/>
    <w:unhideWhenUsed/>
    <w:qFormat/>
    <w:uiPriority w:val="9"/>
    <w:pPr>
      <w:keepNext/>
      <w:keepLines/>
      <w:spacing w:before="200" w:after="0"/>
      <w:outlineLvl w:val="4"/>
    </w:pPr>
    <w:rPr>
      <w:rFonts w:asciiTheme="majorHAnsi" w:hAnsiTheme="majorHAnsi" w:eastAsiaTheme="majorEastAsia" w:cstheme="majorBidi"/>
      <w:color w:val="254061" w:themeColor="accent1" w:themeShade="80"/>
    </w:rPr>
  </w:style>
  <w:style w:type="paragraph" w:styleId="8">
    <w:name w:val="heading 6"/>
    <w:basedOn w:val="1"/>
    <w:next w:val="1"/>
    <w:link w:val="152"/>
    <w:semiHidden/>
    <w:unhideWhenUsed/>
    <w:qFormat/>
    <w:uiPriority w:val="9"/>
    <w:pPr>
      <w:keepNext/>
      <w:keepLines/>
      <w:spacing w:before="200" w:after="0"/>
      <w:outlineLvl w:val="5"/>
    </w:pPr>
    <w:rPr>
      <w:rFonts w:asciiTheme="majorHAnsi" w:hAnsiTheme="majorHAnsi" w:eastAsiaTheme="majorEastAsia" w:cstheme="majorBidi"/>
      <w:i/>
      <w:iCs/>
      <w:color w:val="254061" w:themeColor="accent1" w:themeShade="80"/>
    </w:rPr>
  </w:style>
  <w:style w:type="paragraph" w:styleId="9">
    <w:name w:val="heading 7"/>
    <w:basedOn w:val="1"/>
    <w:next w:val="1"/>
    <w:link w:val="153"/>
    <w:semiHidden/>
    <w:unhideWhenUsed/>
    <w:qFormat/>
    <w:uiPriority w:val="9"/>
    <w:pPr>
      <w:keepNext/>
      <w:keepLines/>
      <w:spacing w:before="200" w:after="0"/>
      <w:outlineLvl w:val="6"/>
    </w:pPr>
    <w:rPr>
      <w:rFonts w:asciiTheme="majorHAnsi" w:hAnsiTheme="majorHAnsi" w:eastAsiaTheme="majorEastAsia" w:cstheme="majorBidi"/>
      <w:i/>
      <w:iCs/>
      <w:color w:val="404040" w:themeColor="text1" w:themeTint="BF"/>
      <w14:textFill>
        <w14:solidFill>
          <w14:schemeClr w14:val="tx1">
            <w14:lumMod w14:val="75000"/>
            <w14:lumOff w14:val="25000"/>
          </w14:schemeClr>
        </w14:solidFill>
      </w14:textFill>
    </w:rPr>
  </w:style>
  <w:style w:type="paragraph" w:styleId="10">
    <w:name w:val="heading 8"/>
    <w:basedOn w:val="1"/>
    <w:next w:val="1"/>
    <w:link w:val="154"/>
    <w:semiHidden/>
    <w:unhideWhenUsed/>
    <w:qFormat/>
    <w:uiPriority w:val="9"/>
    <w:pPr>
      <w:keepNext/>
      <w:keepLines/>
      <w:spacing w:before="200" w:after="0"/>
      <w:outlineLvl w:val="7"/>
    </w:pPr>
    <w:rPr>
      <w:rFonts w:asciiTheme="majorHAnsi" w:hAnsiTheme="majorHAnsi" w:eastAsiaTheme="majorEastAsia" w:cstheme="majorBidi"/>
      <w:color w:val="4F81BD" w:themeColor="accent1"/>
      <w:sz w:val="20"/>
      <w:szCs w:val="20"/>
      <w14:textFill>
        <w14:solidFill>
          <w14:schemeClr w14:val="accent1"/>
        </w14:solidFill>
      </w14:textFill>
    </w:rPr>
  </w:style>
  <w:style w:type="paragraph" w:styleId="11">
    <w:name w:val="heading 9"/>
    <w:basedOn w:val="1"/>
    <w:next w:val="1"/>
    <w:link w:val="155"/>
    <w:semiHidden/>
    <w:unhideWhenUsed/>
    <w:qFormat/>
    <w:uiPriority w:val="9"/>
    <w:pPr>
      <w:keepNext/>
      <w:keepLines/>
      <w:spacing w:before="200" w:after="0"/>
      <w:outlineLvl w:val="8"/>
    </w:pPr>
    <w:rPr>
      <w:rFonts w:asciiTheme="majorHAnsi" w:hAnsiTheme="majorHAnsi" w:eastAsiaTheme="majorEastAsia" w:cstheme="majorBidi"/>
      <w:i/>
      <w:iCs/>
      <w:color w:val="404040" w:themeColor="text1" w:themeTint="BF"/>
      <w:sz w:val="20"/>
      <w:szCs w:val="20"/>
      <w14:textFill>
        <w14:solidFill>
          <w14:schemeClr w14:val="tx1">
            <w14:lumMod w14:val="75000"/>
            <w14:lumOff w14:val="25000"/>
          </w14:schemeClr>
        </w14:solidFill>
      </w14:textFill>
    </w:rPr>
  </w:style>
  <w:style w:type="character" w:default="1" w:styleId="132">
    <w:name w:val="Default Paragraph Font"/>
    <w:semiHidden/>
    <w:unhideWhenUsed/>
    <w:qFormat/>
    <w:uiPriority w:val="1"/>
  </w:style>
  <w:style w:type="table" w:default="1" w:styleId="32">
    <w:name w:val="Normal Table"/>
    <w:semiHidden/>
    <w:unhideWhenUsed/>
    <w:qFormat/>
    <w:uiPriority w:val="99"/>
    <w:tblPr>
      <w:tblCellMar>
        <w:top w:w="0" w:type="dxa"/>
        <w:left w:w="108" w:type="dxa"/>
        <w:bottom w:w="0" w:type="dxa"/>
        <w:right w:w="108" w:type="dxa"/>
      </w:tblCellMar>
    </w:tblPr>
  </w:style>
  <w:style w:type="paragraph" w:styleId="2">
    <w:name w:val="macro"/>
    <w:link w:val="147"/>
    <w:unhideWhenUsed/>
    <w:qFormat/>
    <w:uiPriority w:val="99"/>
    <w:pPr>
      <w:tabs>
        <w:tab w:val="left" w:pos="576"/>
        <w:tab w:val="left" w:pos="1152"/>
        <w:tab w:val="left" w:pos="1728"/>
        <w:tab w:val="left" w:pos="2304"/>
        <w:tab w:val="left" w:pos="2880"/>
        <w:tab w:val="left" w:pos="3456"/>
        <w:tab w:val="left" w:pos="4032"/>
      </w:tabs>
      <w:spacing w:after="200" w:line="276" w:lineRule="auto"/>
    </w:pPr>
    <w:rPr>
      <w:rFonts w:ascii="Courier" w:hAnsi="Courier" w:eastAsiaTheme="minorEastAsia" w:cstheme="minorBidi"/>
      <w:lang w:val="en-US" w:eastAsia="en-US" w:bidi="ar-SA"/>
    </w:rPr>
  </w:style>
  <w:style w:type="paragraph" w:styleId="12">
    <w:name w:val="List 3"/>
    <w:basedOn w:val="1"/>
    <w:unhideWhenUsed/>
    <w:qFormat/>
    <w:uiPriority w:val="99"/>
    <w:pPr>
      <w:ind w:left="1080" w:hanging="360"/>
      <w:contextualSpacing/>
    </w:pPr>
  </w:style>
  <w:style w:type="paragraph" w:styleId="13">
    <w:name w:val="List Number 2"/>
    <w:basedOn w:val="1"/>
    <w:unhideWhenUsed/>
    <w:qFormat/>
    <w:uiPriority w:val="99"/>
    <w:pPr>
      <w:numPr>
        <w:ilvl w:val="0"/>
        <w:numId w:val="1"/>
      </w:numPr>
      <w:contextualSpacing/>
    </w:pPr>
  </w:style>
  <w:style w:type="paragraph" w:styleId="14">
    <w:name w:val="List Number"/>
    <w:basedOn w:val="1"/>
    <w:unhideWhenUsed/>
    <w:qFormat/>
    <w:uiPriority w:val="99"/>
    <w:pPr>
      <w:numPr>
        <w:ilvl w:val="0"/>
        <w:numId w:val="2"/>
      </w:numPr>
      <w:contextualSpacing/>
    </w:pPr>
  </w:style>
  <w:style w:type="paragraph" w:styleId="15">
    <w:name w:val="caption"/>
    <w:basedOn w:val="1"/>
    <w:next w:val="1"/>
    <w:semiHidden/>
    <w:unhideWhenUsed/>
    <w:qFormat/>
    <w:uiPriority w:val="35"/>
    <w:pPr>
      <w:spacing w:line="240" w:lineRule="auto"/>
    </w:pPr>
    <w:rPr>
      <w:b/>
      <w:bCs/>
      <w:color w:val="4F81BD" w:themeColor="accent1"/>
      <w:sz w:val="18"/>
      <w:szCs w:val="18"/>
      <w14:textFill>
        <w14:solidFill>
          <w14:schemeClr w14:val="accent1"/>
        </w14:solidFill>
      </w14:textFill>
    </w:rPr>
  </w:style>
  <w:style w:type="paragraph" w:styleId="16">
    <w:name w:val="List Bullet"/>
    <w:basedOn w:val="1"/>
    <w:unhideWhenUsed/>
    <w:qFormat/>
    <w:uiPriority w:val="99"/>
    <w:pPr>
      <w:numPr>
        <w:ilvl w:val="0"/>
        <w:numId w:val="3"/>
      </w:numPr>
      <w:contextualSpacing/>
    </w:pPr>
  </w:style>
  <w:style w:type="paragraph" w:styleId="17">
    <w:name w:val="Body Text 3"/>
    <w:basedOn w:val="1"/>
    <w:link w:val="146"/>
    <w:unhideWhenUsed/>
    <w:qFormat/>
    <w:uiPriority w:val="99"/>
    <w:pPr>
      <w:spacing w:after="120"/>
    </w:pPr>
    <w:rPr>
      <w:sz w:val="16"/>
      <w:szCs w:val="16"/>
    </w:rPr>
  </w:style>
  <w:style w:type="paragraph" w:styleId="18">
    <w:name w:val="List Bullet 3"/>
    <w:basedOn w:val="1"/>
    <w:unhideWhenUsed/>
    <w:qFormat/>
    <w:uiPriority w:val="99"/>
    <w:pPr>
      <w:numPr>
        <w:ilvl w:val="0"/>
        <w:numId w:val="4"/>
      </w:numPr>
      <w:contextualSpacing/>
    </w:pPr>
  </w:style>
  <w:style w:type="paragraph" w:styleId="19">
    <w:name w:val="Body Text"/>
    <w:basedOn w:val="1"/>
    <w:link w:val="144"/>
    <w:unhideWhenUsed/>
    <w:qFormat/>
    <w:uiPriority w:val="99"/>
    <w:pPr>
      <w:spacing w:after="120"/>
    </w:pPr>
  </w:style>
  <w:style w:type="paragraph" w:styleId="20">
    <w:name w:val="List Number 3"/>
    <w:basedOn w:val="1"/>
    <w:unhideWhenUsed/>
    <w:qFormat/>
    <w:uiPriority w:val="99"/>
    <w:pPr>
      <w:numPr>
        <w:ilvl w:val="0"/>
        <w:numId w:val="5"/>
      </w:numPr>
      <w:contextualSpacing/>
    </w:pPr>
  </w:style>
  <w:style w:type="paragraph" w:styleId="21">
    <w:name w:val="List 2"/>
    <w:basedOn w:val="1"/>
    <w:unhideWhenUsed/>
    <w:qFormat/>
    <w:uiPriority w:val="99"/>
    <w:pPr>
      <w:ind w:left="720" w:hanging="360"/>
      <w:contextualSpacing/>
    </w:pPr>
  </w:style>
  <w:style w:type="paragraph" w:styleId="22">
    <w:name w:val="List Continue"/>
    <w:basedOn w:val="1"/>
    <w:unhideWhenUsed/>
    <w:qFormat/>
    <w:uiPriority w:val="99"/>
    <w:pPr>
      <w:spacing w:after="120"/>
      <w:ind w:left="360"/>
      <w:contextualSpacing/>
    </w:pPr>
  </w:style>
  <w:style w:type="paragraph" w:styleId="23">
    <w:name w:val="List Bullet 2"/>
    <w:basedOn w:val="1"/>
    <w:unhideWhenUsed/>
    <w:qFormat/>
    <w:uiPriority w:val="99"/>
    <w:pPr>
      <w:numPr>
        <w:ilvl w:val="0"/>
        <w:numId w:val="6"/>
      </w:numPr>
      <w:contextualSpacing/>
    </w:pPr>
  </w:style>
  <w:style w:type="paragraph" w:styleId="24">
    <w:name w:val="footer"/>
    <w:basedOn w:val="1"/>
    <w:link w:val="136"/>
    <w:unhideWhenUsed/>
    <w:qFormat/>
    <w:uiPriority w:val="99"/>
    <w:pPr>
      <w:tabs>
        <w:tab w:val="center" w:pos="4680"/>
        <w:tab w:val="right" w:pos="9360"/>
      </w:tabs>
      <w:spacing w:after="0" w:line="240" w:lineRule="auto"/>
    </w:pPr>
  </w:style>
  <w:style w:type="paragraph" w:styleId="25">
    <w:name w:val="header"/>
    <w:basedOn w:val="1"/>
    <w:link w:val="135"/>
    <w:unhideWhenUsed/>
    <w:qFormat/>
    <w:uiPriority w:val="99"/>
    <w:pPr>
      <w:tabs>
        <w:tab w:val="center" w:pos="4680"/>
        <w:tab w:val="right" w:pos="9360"/>
      </w:tabs>
      <w:spacing w:after="0" w:line="240" w:lineRule="auto"/>
    </w:pPr>
  </w:style>
  <w:style w:type="paragraph" w:styleId="26">
    <w:name w:val="Subtitle"/>
    <w:basedOn w:val="1"/>
    <w:next w:val="1"/>
    <w:link w:val="142"/>
    <w:qFormat/>
    <w:uiPriority w:val="11"/>
    <w:rPr>
      <w:rFonts w:asciiTheme="majorHAnsi" w:hAnsiTheme="majorHAnsi" w:eastAsiaTheme="majorEastAsia" w:cstheme="majorBidi"/>
      <w:i/>
      <w:iCs/>
      <w:color w:val="4F81BD" w:themeColor="accent1"/>
      <w:spacing w:val="15"/>
      <w:sz w:val="24"/>
      <w:szCs w:val="24"/>
      <w14:textFill>
        <w14:solidFill>
          <w14:schemeClr w14:val="accent1"/>
        </w14:solidFill>
      </w14:textFill>
    </w:rPr>
  </w:style>
  <w:style w:type="paragraph" w:styleId="27">
    <w:name w:val="List"/>
    <w:basedOn w:val="1"/>
    <w:unhideWhenUsed/>
    <w:qFormat/>
    <w:uiPriority w:val="99"/>
    <w:pPr>
      <w:ind w:left="360" w:hanging="360"/>
      <w:contextualSpacing/>
    </w:pPr>
  </w:style>
  <w:style w:type="paragraph" w:styleId="28">
    <w:name w:val="Body Text 2"/>
    <w:basedOn w:val="1"/>
    <w:link w:val="145"/>
    <w:unhideWhenUsed/>
    <w:qFormat/>
    <w:uiPriority w:val="99"/>
    <w:pPr>
      <w:spacing w:after="120" w:line="480" w:lineRule="auto"/>
    </w:pPr>
  </w:style>
  <w:style w:type="paragraph" w:styleId="29">
    <w:name w:val="List Continue 2"/>
    <w:basedOn w:val="1"/>
    <w:unhideWhenUsed/>
    <w:qFormat/>
    <w:uiPriority w:val="99"/>
    <w:pPr>
      <w:spacing w:after="120"/>
      <w:ind w:left="720"/>
      <w:contextualSpacing/>
    </w:pPr>
  </w:style>
  <w:style w:type="paragraph" w:styleId="30">
    <w:name w:val="List Continue 3"/>
    <w:basedOn w:val="1"/>
    <w:unhideWhenUsed/>
    <w:qFormat/>
    <w:uiPriority w:val="99"/>
    <w:pPr>
      <w:spacing w:after="120"/>
      <w:ind w:left="1080"/>
      <w:contextualSpacing/>
    </w:pPr>
  </w:style>
  <w:style w:type="paragraph" w:styleId="31">
    <w:name w:val="Title"/>
    <w:basedOn w:val="1"/>
    <w:next w:val="1"/>
    <w:link w:val="141"/>
    <w:qFormat/>
    <w:uiPriority w:val="10"/>
    <w:pPr>
      <w:pBdr>
        <w:bottom w:val="single" w:color="4F81BD" w:themeColor="accent1" w:sz="8" w:space="4"/>
      </w:pBdr>
      <w:spacing w:after="300" w:line="240" w:lineRule="auto"/>
      <w:contextualSpacing/>
    </w:pPr>
    <w:rPr>
      <w:rFonts w:asciiTheme="majorHAnsi" w:hAnsiTheme="majorHAnsi" w:eastAsiaTheme="majorEastAsia" w:cstheme="majorBidi"/>
      <w:color w:val="17375E" w:themeColor="text2" w:themeShade="BF"/>
      <w:spacing w:val="5"/>
      <w:kern w:val="28"/>
      <w:sz w:val="52"/>
      <w:szCs w:val="52"/>
    </w:rPr>
  </w:style>
  <w:style w:type="table" w:styleId="33">
    <w:name w:val="Table Grid"/>
    <w:basedOn w:val="32"/>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34">
    <w:name w:val="Light Shading"/>
    <w:basedOn w:val="32"/>
    <w:qFormat/>
    <w:uiPriority w:val="60"/>
    <w:rPr>
      <w:color w:val="000000" w:themeColor="text1" w:themeShade="BF"/>
    </w:rPr>
    <w:tblPr>
      <w:tblBorders>
        <w:top w:val="single" w:color="000000" w:themeColor="text1" w:sz="8" w:space="0"/>
        <w:bottom w:val="single" w:color="000000" w:themeColor="text1" w:sz="8" w:space="0"/>
      </w:tblBorders>
    </w:tblPr>
    <w:tblStylePr w:type="fir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la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FBFBF" w:themeFill="text1" w:themeFillTint="3F"/>
      </w:tcPr>
    </w:tblStylePr>
    <w:tblStylePr w:type="band1Horz">
      <w:tblPr/>
      <w:tcPr>
        <w:tcBorders>
          <w:left w:val="nil"/>
          <w:right w:val="nil"/>
          <w:insideH w:val="nil"/>
          <w:insideV w:val="nil"/>
        </w:tcBorders>
        <w:shd w:val="clear" w:color="auto" w:fill="BFBFBF" w:themeFill="text1" w:themeFillTint="3F"/>
      </w:tcPr>
    </w:tblStylePr>
  </w:style>
  <w:style w:type="table" w:styleId="35">
    <w:name w:val="Light Shading Accent 1"/>
    <w:basedOn w:val="32"/>
    <w:qFormat/>
    <w:uiPriority w:val="60"/>
    <w:rPr>
      <w:color w:val="376092" w:themeColor="accent1" w:themeShade="BF"/>
    </w:rPr>
    <w:tblPr>
      <w:tblBorders>
        <w:top w:val="single" w:color="4F81BD" w:themeColor="accent1" w:sz="8" w:space="0"/>
        <w:bottom w:val="single" w:color="4F81BD" w:themeColor="accent1" w:sz="8" w:space="0"/>
      </w:tblBorders>
    </w:tblPr>
    <w:tblStylePr w:type="fir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la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36">
    <w:name w:val="Light Shading Accent 2"/>
    <w:basedOn w:val="32"/>
    <w:qFormat/>
    <w:uiPriority w:val="60"/>
    <w:rPr>
      <w:color w:val="953735" w:themeColor="accent2" w:themeShade="BF"/>
    </w:rPr>
    <w:tblPr>
      <w:tblBorders>
        <w:top w:val="single" w:color="C0504D" w:themeColor="accent2" w:sz="8" w:space="0"/>
        <w:bottom w:val="single" w:color="C0504D" w:themeColor="accent2" w:sz="8" w:space="0"/>
      </w:tblBorders>
    </w:tblPr>
    <w:tblStylePr w:type="fir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la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3" w:themeFill="accent2" w:themeFillTint="3F"/>
      </w:tcPr>
    </w:tblStylePr>
    <w:tblStylePr w:type="band1Horz">
      <w:tblPr/>
      <w:tcPr>
        <w:tcBorders>
          <w:left w:val="nil"/>
          <w:right w:val="nil"/>
          <w:insideH w:val="nil"/>
          <w:insideV w:val="nil"/>
        </w:tcBorders>
        <w:shd w:val="clear" w:color="auto" w:fill="EFD3D3" w:themeFill="accent2" w:themeFillTint="3F"/>
      </w:tcPr>
    </w:tblStylePr>
  </w:style>
  <w:style w:type="table" w:styleId="37">
    <w:name w:val="Light Shading Accent 3"/>
    <w:basedOn w:val="32"/>
    <w:qFormat/>
    <w:uiPriority w:val="60"/>
    <w:rPr>
      <w:color w:val="77933C" w:themeColor="accent3" w:themeShade="BF"/>
    </w:rPr>
    <w:tblPr>
      <w:tblBorders>
        <w:top w:val="single" w:color="9BBB59" w:themeColor="accent3" w:sz="8" w:space="0"/>
        <w:bottom w:val="single" w:color="9BBB59" w:themeColor="accent3" w:sz="8" w:space="0"/>
      </w:tblBorders>
    </w:tblPr>
    <w:tblStylePr w:type="fir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la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38">
    <w:name w:val="Light Shading Accent 4"/>
    <w:basedOn w:val="32"/>
    <w:qFormat/>
    <w:uiPriority w:val="60"/>
    <w:rPr>
      <w:color w:val="604A7B" w:themeColor="accent4" w:themeShade="BF"/>
    </w:rPr>
    <w:tblPr>
      <w:tblBorders>
        <w:top w:val="single" w:color="8064A2" w:themeColor="accent4" w:sz="8" w:space="0"/>
        <w:bottom w:val="single" w:color="8064A2" w:themeColor="accent4" w:sz="8" w:space="0"/>
      </w:tblBorders>
    </w:tblPr>
    <w:tblStylePr w:type="fir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la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39">
    <w:name w:val="Light Shading Accent 5"/>
    <w:basedOn w:val="32"/>
    <w:qFormat/>
    <w:uiPriority w:val="60"/>
    <w:rPr>
      <w:color w:val="31859C" w:themeColor="accent5" w:themeShade="BF"/>
    </w:rPr>
    <w:tblPr>
      <w:tblBorders>
        <w:top w:val="single" w:color="4BACC6" w:themeColor="accent5" w:sz="8" w:space="0"/>
        <w:bottom w:val="single" w:color="4BACC6" w:themeColor="accent5" w:sz="8" w:space="0"/>
      </w:tblBorders>
    </w:tblPr>
    <w:tblStylePr w:type="fir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la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0" w:themeFill="accent5" w:themeFillTint="3F"/>
      </w:tcPr>
    </w:tblStylePr>
    <w:tblStylePr w:type="band1Horz">
      <w:tblPr/>
      <w:tcPr>
        <w:tcBorders>
          <w:left w:val="nil"/>
          <w:right w:val="nil"/>
          <w:insideH w:val="nil"/>
          <w:insideV w:val="nil"/>
        </w:tcBorders>
        <w:shd w:val="clear" w:color="auto" w:fill="D2EAF0" w:themeFill="accent5" w:themeFillTint="3F"/>
      </w:tcPr>
    </w:tblStylePr>
  </w:style>
  <w:style w:type="table" w:styleId="40">
    <w:name w:val="Light Shading Accent 6"/>
    <w:basedOn w:val="32"/>
    <w:qFormat/>
    <w:uiPriority w:val="60"/>
    <w:rPr>
      <w:color w:val="E46C0A" w:themeColor="accent6" w:themeShade="BF"/>
    </w:rPr>
    <w:tblPr>
      <w:tblBorders>
        <w:top w:val="single" w:color="F79646" w:themeColor="accent6" w:sz="8" w:space="0"/>
        <w:bottom w:val="single" w:color="F79646" w:themeColor="accent6" w:sz="8" w:space="0"/>
      </w:tblBorders>
    </w:tblPr>
    <w:tblStylePr w:type="fir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la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5D1" w:themeFill="accent6" w:themeFillTint="3F"/>
      </w:tcPr>
    </w:tblStylePr>
    <w:tblStylePr w:type="band1Horz">
      <w:tblPr/>
      <w:tcPr>
        <w:tcBorders>
          <w:left w:val="nil"/>
          <w:right w:val="nil"/>
          <w:insideH w:val="nil"/>
          <w:insideV w:val="nil"/>
        </w:tcBorders>
        <w:shd w:val="clear" w:color="auto" w:fill="FDE5D1" w:themeFill="accent6" w:themeFillTint="3F"/>
      </w:tcPr>
    </w:tblStylePr>
  </w:style>
  <w:style w:type="table" w:styleId="41">
    <w:name w:val="Light List"/>
    <w:basedOn w:val="32"/>
    <w:qFormat/>
    <w:uiPriority w:val="61"/>
    <w:tblPr>
      <w:tblBorders>
        <w:top w:val="single" w:color="000000" w:themeColor="text1" w:sz="8" w:space="0"/>
        <w:left w:val="single" w:color="000000" w:themeColor="text1" w:sz="8" w:space="0"/>
        <w:bottom w:val="single" w:color="000000" w:themeColor="text1" w:sz="8" w:space="0"/>
        <w:right w:val="single" w:color="000000" w:themeColor="text1" w:sz="8" w:space="0"/>
      </w:tblBorders>
    </w:tblPr>
    <w:tblStylePr w:type="firstRow">
      <w:pPr>
        <w:spacing w:before="0" w:after="0" w:line="240" w:lineRule="auto"/>
      </w:pPr>
      <w:rPr>
        <w:b/>
        <w:bCs/>
        <w:color w:val="FFFFFF" w:themeColor="background1"/>
        <w14:textFill>
          <w14:solidFill>
            <w14:schemeClr w14:val="bg1"/>
          </w14:solidFill>
        </w14:textFill>
      </w:rPr>
      <w:tblPr/>
      <w:tcPr>
        <w:shd w:val="clear" w:color="auto" w:fill="000000" w:themeFill="text1"/>
      </w:tcPr>
    </w:tblStylePr>
    <w:tblStylePr w:type="lastRow">
      <w:pPr>
        <w:spacing w:before="0" w:after="0" w:line="240" w:lineRule="auto"/>
      </w:pPr>
      <w:rPr>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tcBorders>
      </w:tcPr>
    </w:tblStylePr>
    <w:tblStylePr w:type="firstCol">
      <w:rPr>
        <w:b/>
        <w:bCs/>
      </w:rPr>
    </w:tblStylePr>
    <w:tblStylePr w:type="lastCol">
      <w:rPr>
        <w:b/>
        <w:bCs/>
      </w:r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style>
  <w:style w:type="table" w:styleId="42">
    <w:name w:val="Light List Accent 1"/>
    <w:basedOn w:val="32"/>
    <w:qFormat/>
    <w:uiPriority w:val="61"/>
    <w:tblPr>
      <w:tblBorders>
        <w:top w:val="single" w:color="4F81BD" w:themeColor="accent1" w:sz="8" w:space="0"/>
        <w:left w:val="single" w:color="4F81BD" w:themeColor="accent1" w:sz="8" w:space="0"/>
        <w:bottom w:val="single" w:color="4F81BD" w:themeColor="accent1" w:sz="8" w:space="0"/>
        <w:right w:val="single" w:color="4F81BD" w:themeColor="accent1" w:sz="8" w:space="0"/>
      </w:tblBorders>
    </w:tblPr>
    <w:tblStylePr w:type="firstRow">
      <w:pPr>
        <w:spacing w:before="0" w:after="0" w:line="240" w:lineRule="auto"/>
      </w:pPr>
      <w:rPr>
        <w:b/>
        <w:bCs/>
        <w:color w:val="FFFFFF" w:themeColor="background1"/>
        <w14:textFill>
          <w14:solidFill>
            <w14:schemeClr w14:val="bg1"/>
          </w14:solidFill>
        </w14:textFill>
      </w:rPr>
      <w:tblPr/>
      <w:tcPr>
        <w:shd w:val="clear" w:color="auto" w:fill="4F81BD" w:themeFill="accent1"/>
      </w:tcPr>
    </w:tblStylePr>
    <w:tblStylePr w:type="lastRow">
      <w:pPr>
        <w:spacing w:before="0" w:after="0" w:line="240" w:lineRule="auto"/>
      </w:pPr>
      <w:rPr>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tcBorders>
      </w:tcPr>
    </w:tblStylePr>
    <w:tblStylePr w:type="firstCol">
      <w:rPr>
        <w:b/>
        <w:bCs/>
      </w:rPr>
    </w:tblStylePr>
    <w:tblStylePr w:type="lastCol">
      <w:rPr>
        <w:b/>
        <w:bCs/>
      </w:r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style>
  <w:style w:type="table" w:styleId="43">
    <w:name w:val="Light List Accent 2"/>
    <w:basedOn w:val="32"/>
    <w:qFormat/>
    <w:uiPriority w:val="61"/>
    <w:tblPr>
      <w:tblBorders>
        <w:top w:val="single" w:color="C0504D" w:themeColor="accent2" w:sz="8" w:space="0"/>
        <w:left w:val="single" w:color="C0504D" w:themeColor="accent2" w:sz="8" w:space="0"/>
        <w:bottom w:val="single" w:color="C0504D" w:themeColor="accent2" w:sz="8" w:space="0"/>
        <w:right w:val="single" w:color="C0504D" w:themeColor="accent2" w:sz="8" w:space="0"/>
      </w:tblBorders>
    </w:tblPr>
    <w:tblStylePr w:type="firstRow">
      <w:pPr>
        <w:spacing w:before="0" w:after="0" w:line="240" w:lineRule="auto"/>
      </w:pPr>
      <w:rPr>
        <w:b/>
        <w:bCs/>
        <w:color w:val="FFFFFF" w:themeColor="background1"/>
        <w14:textFill>
          <w14:solidFill>
            <w14:schemeClr w14:val="bg1"/>
          </w14:solidFill>
        </w14:textFill>
      </w:rPr>
      <w:tblPr/>
      <w:tcPr>
        <w:shd w:val="clear" w:color="auto" w:fill="C0504D" w:themeFill="accent2"/>
      </w:tcPr>
    </w:tblStylePr>
    <w:tblStylePr w:type="lastRow">
      <w:pPr>
        <w:spacing w:before="0" w:after="0" w:line="240" w:lineRule="auto"/>
      </w:pPr>
      <w:rPr>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tcBorders>
      </w:tcPr>
    </w:tblStylePr>
    <w:tblStylePr w:type="firstCol">
      <w:rPr>
        <w:b/>
        <w:bCs/>
      </w:rPr>
    </w:tblStylePr>
    <w:tblStylePr w:type="lastCol">
      <w:rPr>
        <w:b/>
        <w:bCs/>
      </w:r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style>
  <w:style w:type="table" w:styleId="44">
    <w:name w:val="Light List Accent 3"/>
    <w:basedOn w:val="32"/>
    <w:qFormat/>
    <w:uiPriority w:val="61"/>
    <w:tblPr>
      <w:tblBorders>
        <w:top w:val="single" w:color="9BBB59" w:themeColor="accent3" w:sz="8" w:space="0"/>
        <w:left w:val="single" w:color="9BBB59" w:themeColor="accent3" w:sz="8" w:space="0"/>
        <w:bottom w:val="single" w:color="9BBB59" w:themeColor="accent3" w:sz="8" w:space="0"/>
        <w:right w:val="single" w:color="9BBB59" w:themeColor="accent3" w:sz="8" w:space="0"/>
      </w:tblBorders>
    </w:tblPr>
    <w:tblStylePr w:type="firstRow">
      <w:pPr>
        <w:spacing w:before="0" w:after="0" w:line="240" w:lineRule="auto"/>
      </w:pPr>
      <w:rPr>
        <w:b/>
        <w:bCs/>
        <w:color w:val="FFFFFF" w:themeColor="background1"/>
        <w14:textFill>
          <w14:solidFill>
            <w14:schemeClr w14:val="bg1"/>
          </w14:solidFill>
        </w14:textFill>
      </w:rPr>
      <w:tblPr/>
      <w:tcPr>
        <w:shd w:val="clear" w:color="auto" w:fill="9BBB59" w:themeFill="accent3"/>
      </w:tcPr>
    </w:tblStylePr>
    <w:tblStylePr w:type="lastRow">
      <w:pPr>
        <w:spacing w:before="0" w:after="0" w:line="240" w:lineRule="auto"/>
      </w:pPr>
      <w:rPr>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tcBorders>
      </w:tcPr>
    </w:tblStylePr>
    <w:tblStylePr w:type="firstCol">
      <w:rPr>
        <w:b/>
        <w:bCs/>
      </w:rPr>
    </w:tblStylePr>
    <w:tblStylePr w:type="lastCol">
      <w:rPr>
        <w:b/>
        <w:bCs/>
      </w:r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style>
  <w:style w:type="table" w:styleId="45">
    <w:name w:val="Light List Accent 4"/>
    <w:basedOn w:val="32"/>
    <w:qFormat/>
    <w:uiPriority w:val="61"/>
    <w:tblPr>
      <w:tblBorders>
        <w:top w:val="single" w:color="8064A2" w:themeColor="accent4" w:sz="8" w:space="0"/>
        <w:left w:val="single" w:color="8064A2" w:themeColor="accent4" w:sz="8" w:space="0"/>
        <w:bottom w:val="single" w:color="8064A2" w:themeColor="accent4" w:sz="8" w:space="0"/>
        <w:right w:val="single" w:color="8064A2" w:themeColor="accent4" w:sz="8" w:space="0"/>
      </w:tblBorders>
    </w:tblPr>
    <w:tblStylePr w:type="firstRow">
      <w:pPr>
        <w:spacing w:before="0" w:after="0" w:line="240" w:lineRule="auto"/>
      </w:pPr>
      <w:rPr>
        <w:b/>
        <w:bCs/>
        <w:color w:val="FFFFFF" w:themeColor="background1"/>
        <w14:textFill>
          <w14:solidFill>
            <w14:schemeClr w14:val="bg1"/>
          </w14:solidFill>
        </w14:textFill>
      </w:rPr>
      <w:tblPr/>
      <w:tcPr>
        <w:shd w:val="clear" w:color="auto" w:fill="8064A2" w:themeFill="accent4"/>
      </w:tcPr>
    </w:tblStylePr>
    <w:tblStylePr w:type="lastRow">
      <w:pPr>
        <w:spacing w:before="0" w:after="0" w:line="240" w:lineRule="auto"/>
      </w:pPr>
      <w:rPr>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tcBorders>
      </w:tcPr>
    </w:tblStylePr>
    <w:tblStylePr w:type="firstCol">
      <w:rPr>
        <w:b/>
        <w:bCs/>
      </w:rPr>
    </w:tblStylePr>
    <w:tblStylePr w:type="lastCol">
      <w:rPr>
        <w:b/>
        <w:bCs/>
      </w:r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style>
  <w:style w:type="table" w:styleId="46">
    <w:name w:val="Light List Accent 5"/>
    <w:basedOn w:val="32"/>
    <w:qFormat/>
    <w:uiPriority w:val="61"/>
    <w:tblPr>
      <w:tblBorders>
        <w:top w:val="single" w:color="4BACC6" w:themeColor="accent5" w:sz="8" w:space="0"/>
        <w:left w:val="single" w:color="4BACC6" w:themeColor="accent5" w:sz="8" w:space="0"/>
        <w:bottom w:val="single" w:color="4BACC6" w:themeColor="accent5" w:sz="8" w:space="0"/>
        <w:right w:val="single" w:color="4BACC6" w:themeColor="accent5" w:sz="8" w:space="0"/>
      </w:tblBorders>
    </w:tblPr>
    <w:tblStylePr w:type="firstRow">
      <w:pPr>
        <w:spacing w:before="0" w:after="0" w:line="240" w:lineRule="auto"/>
      </w:pPr>
      <w:rPr>
        <w:b/>
        <w:bCs/>
        <w:color w:val="FFFFFF" w:themeColor="background1"/>
        <w14:textFill>
          <w14:solidFill>
            <w14:schemeClr w14:val="bg1"/>
          </w14:solidFill>
        </w14:textFill>
      </w:rPr>
      <w:tblPr/>
      <w:tcPr>
        <w:shd w:val="clear" w:color="auto" w:fill="4BACC6" w:themeFill="accent5"/>
      </w:tcPr>
    </w:tblStylePr>
    <w:tblStylePr w:type="lastRow">
      <w:pPr>
        <w:spacing w:before="0" w:after="0" w:line="240" w:lineRule="auto"/>
      </w:pPr>
      <w:rPr>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tcBorders>
      </w:tcPr>
    </w:tblStylePr>
    <w:tblStylePr w:type="firstCol">
      <w:rPr>
        <w:b/>
        <w:bCs/>
      </w:rPr>
    </w:tblStylePr>
    <w:tblStylePr w:type="lastCol">
      <w:rPr>
        <w:b/>
        <w:bCs/>
      </w:r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style>
  <w:style w:type="table" w:styleId="47">
    <w:name w:val="Light List Accent 6"/>
    <w:basedOn w:val="32"/>
    <w:qFormat/>
    <w:uiPriority w:val="61"/>
    <w:tblPr>
      <w:tblBorders>
        <w:top w:val="single" w:color="F79646" w:themeColor="accent6" w:sz="8" w:space="0"/>
        <w:left w:val="single" w:color="F79646" w:themeColor="accent6" w:sz="8" w:space="0"/>
        <w:bottom w:val="single" w:color="F79646" w:themeColor="accent6" w:sz="8" w:space="0"/>
        <w:right w:val="single" w:color="F79646" w:themeColor="accent6" w:sz="8" w:space="0"/>
      </w:tblBorders>
    </w:tblPr>
    <w:tblStylePr w:type="firstRow">
      <w:pPr>
        <w:spacing w:before="0" w:after="0" w:line="240" w:lineRule="auto"/>
      </w:pPr>
      <w:rPr>
        <w:b/>
        <w:bCs/>
        <w:color w:val="FFFFFF" w:themeColor="background1"/>
        <w14:textFill>
          <w14:solidFill>
            <w14:schemeClr w14:val="bg1"/>
          </w14:solidFill>
        </w14:textFill>
      </w:rPr>
      <w:tblPr/>
      <w:tcPr>
        <w:shd w:val="clear" w:color="auto" w:fill="F79646" w:themeFill="accent6"/>
      </w:tcPr>
    </w:tblStylePr>
    <w:tblStylePr w:type="lastRow">
      <w:pPr>
        <w:spacing w:before="0" w:after="0" w:line="240" w:lineRule="auto"/>
      </w:pPr>
      <w:rPr>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tcBorders>
      </w:tcPr>
    </w:tblStylePr>
    <w:tblStylePr w:type="firstCol">
      <w:rPr>
        <w:b/>
        <w:bCs/>
      </w:rPr>
    </w:tblStylePr>
    <w:tblStylePr w:type="lastCol">
      <w:rPr>
        <w:b/>
        <w:bCs/>
      </w:r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style>
  <w:style w:type="table" w:styleId="48">
    <w:name w:val="Light Grid"/>
    <w:basedOn w:val="32"/>
    <w:qFormat/>
    <w:uiPriority w:val="62"/>
    <w:tblPr>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18" w:space="0"/>
          <w:right w:val="single" w:color="000000" w:themeColor="text1"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BFBFBF" w:themeFill="text1" w:themeFillTint="3F"/>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sz="8" w:space="0"/>
        </w:tcBorders>
        <w:shd w:val="clear" w:color="auto" w:fill="BFBFBF" w:themeFill="text1" w:themeFillTint="3F"/>
      </w:tcPr>
    </w:tblStylePr>
    <w:tblStylePr w:type="band2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sz="8" w:space="0"/>
        </w:tcBorders>
      </w:tcPr>
    </w:tblStylePr>
  </w:style>
  <w:style w:type="table" w:styleId="49">
    <w:name w:val="Light Grid Accent 1"/>
    <w:basedOn w:val="32"/>
    <w:qFormat/>
    <w:uiPriority w:val="62"/>
    <w:tblPr>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18" w:space="0"/>
          <w:right w:val="single" w:color="4F81BD" w:themeColor="accent1"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shd w:val="clear" w:color="auto" w:fill="D3DFEE" w:themeFill="accent1" w:themeFillTint="3F"/>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sz="8" w:space="0"/>
        </w:tcBorders>
        <w:shd w:val="clear" w:color="auto" w:fill="D3DFEE" w:themeFill="accent1" w:themeFillTint="3F"/>
      </w:tcPr>
    </w:tblStylePr>
    <w:tblStylePr w:type="band2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sz="8" w:space="0"/>
        </w:tcBorders>
      </w:tcPr>
    </w:tblStylePr>
  </w:style>
  <w:style w:type="table" w:styleId="50">
    <w:name w:val="Light Grid Accent 2"/>
    <w:basedOn w:val="32"/>
    <w:qFormat/>
    <w:uiPriority w:val="62"/>
    <w:tblPr>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18" w:space="0"/>
          <w:right w:val="single" w:color="C0504D" w:themeColor="accent2"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shd w:val="clear" w:color="auto" w:fill="EFD3D3" w:themeFill="accent2" w:themeFillTint="3F"/>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sz="8" w:space="0"/>
        </w:tcBorders>
        <w:shd w:val="clear" w:color="auto" w:fill="EFD3D3" w:themeFill="accent2" w:themeFillTint="3F"/>
      </w:tcPr>
    </w:tblStylePr>
    <w:tblStylePr w:type="band2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sz="8" w:space="0"/>
        </w:tcBorders>
      </w:tcPr>
    </w:tblStylePr>
  </w:style>
  <w:style w:type="table" w:styleId="51">
    <w:name w:val="Light Grid Accent 3"/>
    <w:basedOn w:val="32"/>
    <w:qFormat/>
    <w:uiPriority w:val="62"/>
    <w:tblPr>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18" w:space="0"/>
          <w:right w:val="single" w:color="9BBB59" w:themeColor="accent3"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shd w:val="clear" w:color="auto" w:fill="E6EED5" w:themeFill="accent3" w:themeFillTint="3F"/>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sz="8" w:space="0"/>
        </w:tcBorders>
        <w:shd w:val="clear" w:color="auto" w:fill="E6EED5" w:themeFill="accent3" w:themeFillTint="3F"/>
      </w:tcPr>
    </w:tblStylePr>
    <w:tblStylePr w:type="band2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sz="8" w:space="0"/>
        </w:tcBorders>
      </w:tcPr>
    </w:tblStylePr>
  </w:style>
  <w:style w:type="table" w:styleId="52">
    <w:name w:val="Light Grid Accent 4"/>
    <w:basedOn w:val="32"/>
    <w:qFormat/>
    <w:uiPriority w:val="62"/>
    <w:tblPr>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18" w:space="0"/>
          <w:right w:val="single" w:color="8064A2" w:themeColor="accent4"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shd w:val="clear" w:color="auto" w:fill="DFD8E8" w:themeFill="accent4" w:themeFillTint="3F"/>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sz="8" w:space="0"/>
        </w:tcBorders>
        <w:shd w:val="clear" w:color="auto" w:fill="DFD8E8" w:themeFill="accent4" w:themeFillTint="3F"/>
      </w:tcPr>
    </w:tblStylePr>
    <w:tblStylePr w:type="band2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sz="8" w:space="0"/>
        </w:tcBorders>
      </w:tcPr>
    </w:tblStylePr>
  </w:style>
  <w:style w:type="table" w:styleId="53">
    <w:name w:val="Light Grid Accent 5"/>
    <w:basedOn w:val="32"/>
    <w:qFormat/>
    <w:uiPriority w:val="62"/>
    <w:tblPr>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18" w:space="0"/>
          <w:right w:val="single" w:color="4BACC6" w:themeColor="accent5"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shd w:val="clear" w:color="auto" w:fill="D2EAF0" w:themeFill="accent5" w:themeFillTint="3F"/>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sz="8" w:space="0"/>
        </w:tcBorders>
        <w:shd w:val="clear" w:color="auto" w:fill="D2EAF0" w:themeFill="accent5" w:themeFillTint="3F"/>
      </w:tcPr>
    </w:tblStylePr>
    <w:tblStylePr w:type="band2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sz="8" w:space="0"/>
        </w:tcBorders>
      </w:tcPr>
    </w:tblStylePr>
  </w:style>
  <w:style w:type="table" w:styleId="54">
    <w:name w:val="Light Grid Accent 6"/>
    <w:basedOn w:val="32"/>
    <w:qFormat/>
    <w:uiPriority w:val="62"/>
    <w:tblPr>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18" w:space="0"/>
          <w:right w:val="single" w:color="F79646" w:themeColor="accent6"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shd w:val="clear" w:color="auto" w:fill="FDE5D1" w:themeFill="accent6" w:themeFillTint="3F"/>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sz="8" w:space="0"/>
        </w:tcBorders>
        <w:shd w:val="clear" w:color="auto" w:fill="FDE5D1" w:themeFill="accent6" w:themeFillTint="3F"/>
      </w:tcPr>
    </w:tblStylePr>
    <w:tblStylePr w:type="band2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sz="8" w:space="0"/>
        </w:tcBorders>
      </w:tcPr>
    </w:tblStylePr>
  </w:style>
  <w:style w:type="table" w:styleId="55">
    <w:name w:val="Medium Shading 1"/>
    <w:basedOn w:val="32"/>
    <w:qFormat/>
    <w:uiPriority w:val="63"/>
    <w:tblPr>
      <w:tbl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single" w:color="3F3F3F" w:themeColor="text1" w:themeTint="BF" w:sz="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nil"/>
          <w:insideV w:val="nil"/>
        </w:tcBorders>
        <w:shd w:val="clear" w:color="auto" w:fill="000000" w:themeFill="text1"/>
      </w:tcPr>
    </w:tblStylePr>
    <w:tblStylePr w:type="lastRow">
      <w:pPr>
        <w:spacing w:before="0" w:after="0" w:line="240" w:lineRule="auto"/>
      </w:pPr>
      <w:rPr>
        <w:b/>
        <w:bCs/>
      </w:rPr>
      <w:tblPr/>
      <w:tcPr>
        <w:tcBorders>
          <w:top w:val="double" w:color="3F3F3F" w:themeColor="text1" w:themeTint="BF" w:sz="6" w:space="0"/>
          <w:left w:val="single" w:color="3F3F3F" w:themeColor="text1" w:themeTint="BF" w:sz="8" w:space="0"/>
          <w:bottom w:val="single" w:color="3F3F3F" w:themeColor="text1" w:themeTint="BF" w:sz="8" w:space="0"/>
          <w:right w:val="single" w:color="3F3F3F" w:themeColor="text1" w:themeTint="BF" w:sz="8" w:space="0"/>
          <w:insideH w:val="nil"/>
          <w:insideV w:val="nil"/>
        </w:tcBorders>
      </w:tcPr>
    </w:tblStylePr>
    <w:tblStylePr w:type="firstCol">
      <w:rPr>
        <w:b/>
        <w:bCs/>
      </w:rPr>
    </w:tblStylePr>
    <w:tblStylePr w:type="lastCol">
      <w:rPr>
        <w:b/>
        <w:bCs/>
      </w:rPr>
    </w:tblStylePr>
    <w:tblStylePr w:type="band1Vert">
      <w:tblPr/>
      <w:tcPr>
        <w:shd w:val="clear" w:color="auto" w:fill="BFBFBF" w:themeFill="text1" w:themeFillTint="3F"/>
      </w:tcPr>
    </w:tblStylePr>
    <w:tblStylePr w:type="band1Horz">
      <w:tblPr/>
      <w:tcPr>
        <w:tcBorders>
          <w:insideH w:val="nil"/>
          <w:insideV w:val="nil"/>
        </w:tcBorders>
        <w:shd w:val="clear" w:color="auto" w:fill="BFBFBF" w:themeFill="text1" w:themeFillTint="3F"/>
      </w:tcPr>
    </w:tblStylePr>
    <w:tblStylePr w:type="band2Horz">
      <w:tblPr/>
      <w:tcPr>
        <w:tcBorders>
          <w:insideH w:val="nil"/>
          <w:insideV w:val="nil"/>
        </w:tcBorders>
      </w:tcPr>
    </w:tblStylePr>
  </w:style>
  <w:style w:type="table" w:styleId="56">
    <w:name w:val="Medium Shading 1 Accent 1"/>
    <w:basedOn w:val="32"/>
    <w:qFormat/>
    <w:uiPriority w:val="63"/>
    <w:tblPr>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shd w:val="clear" w:color="auto" w:fill="4F81BD" w:themeFill="accent1"/>
      </w:tcPr>
    </w:tblStylePr>
    <w:tblStylePr w:type="lastRow">
      <w:pPr>
        <w:spacing w:before="0" w:after="0" w:line="240" w:lineRule="auto"/>
      </w:pPr>
      <w:rPr>
        <w:b/>
        <w:bCs/>
      </w:rPr>
      <w:tblPr/>
      <w:tcPr>
        <w:tcBorders>
          <w:top w:val="double" w:color="7BA0CD" w:themeColor="accent1" w:themeTint="BF" w:sz="6"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57">
    <w:name w:val="Medium Shading 1 Accent 2"/>
    <w:basedOn w:val="32"/>
    <w:qFormat/>
    <w:uiPriority w:val="63"/>
    <w:tblPr>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shd w:val="clear" w:color="auto" w:fill="C0504D" w:themeFill="accent2"/>
      </w:tcPr>
    </w:tblStylePr>
    <w:tblStylePr w:type="lastRow">
      <w:pPr>
        <w:spacing w:before="0" w:after="0" w:line="240" w:lineRule="auto"/>
      </w:pPr>
      <w:rPr>
        <w:b/>
        <w:bCs/>
      </w:rPr>
      <w:tblPr/>
      <w:tcPr>
        <w:tcBorders>
          <w:top w:val="double" w:color="CF7B79" w:themeColor="accent2" w:themeTint="BF" w:sz="6"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tcPr>
    </w:tblStylePr>
    <w:tblStylePr w:type="firstCol">
      <w:rPr>
        <w:b/>
        <w:bCs/>
      </w:rPr>
    </w:tblStylePr>
    <w:tblStylePr w:type="lastCol">
      <w:rPr>
        <w:b/>
        <w:bCs/>
      </w:rPr>
    </w:tblStylePr>
    <w:tblStylePr w:type="band1Vert">
      <w:tblPr/>
      <w:tcPr>
        <w:shd w:val="clear" w:color="auto" w:fill="EFD3D3" w:themeFill="accent2" w:themeFillTint="3F"/>
      </w:tcPr>
    </w:tblStylePr>
    <w:tblStylePr w:type="band1Horz">
      <w:tblPr/>
      <w:tcPr>
        <w:tcBorders>
          <w:insideH w:val="nil"/>
          <w:insideV w:val="nil"/>
        </w:tcBorders>
        <w:shd w:val="clear" w:color="auto" w:fill="EFD3D3" w:themeFill="accent2" w:themeFillTint="3F"/>
      </w:tcPr>
    </w:tblStylePr>
    <w:tblStylePr w:type="band2Horz">
      <w:tblPr/>
      <w:tcPr>
        <w:tcBorders>
          <w:insideH w:val="nil"/>
          <w:insideV w:val="nil"/>
        </w:tcBorders>
      </w:tcPr>
    </w:tblStylePr>
  </w:style>
  <w:style w:type="table" w:styleId="58">
    <w:name w:val="Medium Shading 1 Accent 3"/>
    <w:basedOn w:val="32"/>
    <w:qFormat/>
    <w:uiPriority w:val="63"/>
    <w:tblPr>
      <w:tbl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single" w:color="B4CC82" w:themeColor="accent3" w:themeTint="BF" w:sz="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nil"/>
          <w:insideV w:val="nil"/>
        </w:tcBorders>
        <w:shd w:val="clear" w:color="auto" w:fill="9BBB59" w:themeFill="accent3"/>
      </w:tcPr>
    </w:tblStylePr>
    <w:tblStylePr w:type="lastRow">
      <w:pPr>
        <w:spacing w:before="0" w:after="0" w:line="240" w:lineRule="auto"/>
      </w:pPr>
      <w:rPr>
        <w:b/>
        <w:bCs/>
      </w:rPr>
      <w:tblPr/>
      <w:tcPr>
        <w:tcBorders>
          <w:top w:val="double" w:color="B4CC82" w:themeColor="accent3" w:themeTint="BF" w:sz="6" w:space="0"/>
          <w:left w:val="single" w:color="B4CC82" w:themeColor="accent3" w:themeTint="BF" w:sz="8" w:space="0"/>
          <w:bottom w:val="single" w:color="B4CC82" w:themeColor="accent3" w:themeTint="BF" w:sz="8" w:space="0"/>
          <w:right w:val="single" w:color="B4CC82" w:themeColor="accent3" w:themeTint="BF" w:sz="8" w:space="0"/>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59">
    <w:name w:val="Medium Shading 1 Accent 4"/>
    <w:basedOn w:val="32"/>
    <w:qFormat/>
    <w:uiPriority w:val="63"/>
    <w:tblPr>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shd w:val="clear" w:color="auto" w:fill="8064A2" w:themeFill="accent4"/>
      </w:tcPr>
    </w:tblStylePr>
    <w:tblStylePr w:type="lastRow">
      <w:pPr>
        <w:spacing w:before="0" w:after="0" w:line="240" w:lineRule="auto"/>
      </w:pPr>
      <w:rPr>
        <w:b/>
        <w:bCs/>
      </w:rPr>
      <w:tblPr/>
      <w:tcPr>
        <w:tcBorders>
          <w:top w:val="double" w:color="9F8AB9" w:themeColor="accent4" w:themeTint="BF" w:sz="6"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60">
    <w:name w:val="Medium Shading 1 Accent 5"/>
    <w:basedOn w:val="32"/>
    <w:qFormat/>
    <w:uiPriority w:val="63"/>
    <w:tblPr>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shd w:val="clear" w:color="auto" w:fill="4BACC6" w:themeFill="accent5"/>
      </w:tcPr>
    </w:tblStylePr>
    <w:tblStylePr w:type="lastRow">
      <w:pPr>
        <w:spacing w:before="0" w:after="0" w:line="240" w:lineRule="auto"/>
      </w:pPr>
      <w:rPr>
        <w:b/>
        <w:bCs/>
      </w:rPr>
      <w:tblPr/>
      <w:tcPr>
        <w:tcBorders>
          <w:top w:val="double" w:color="78C0D4" w:themeColor="accent5" w:themeTint="BF" w:sz="6"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tcPr>
    </w:tblStylePr>
    <w:tblStylePr w:type="firstCol">
      <w:rPr>
        <w:b/>
        <w:bCs/>
      </w:rPr>
    </w:tblStylePr>
    <w:tblStylePr w:type="lastCol">
      <w:rPr>
        <w:b/>
        <w:bCs/>
      </w:rPr>
    </w:tblStylePr>
    <w:tblStylePr w:type="band1Vert">
      <w:tblPr/>
      <w:tcPr>
        <w:shd w:val="clear" w:color="auto" w:fill="D2EAF0" w:themeFill="accent5" w:themeFillTint="3F"/>
      </w:tcPr>
    </w:tblStylePr>
    <w:tblStylePr w:type="band1Horz">
      <w:tblPr/>
      <w:tcPr>
        <w:tcBorders>
          <w:insideH w:val="nil"/>
          <w:insideV w:val="nil"/>
        </w:tcBorders>
        <w:shd w:val="clear" w:color="auto" w:fill="D2EAF0" w:themeFill="accent5" w:themeFillTint="3F"/>
      </w:tcPr>
    </w:tblStylePr>
    <w:tblStylePr w:type="band2Horz">
      <w:tblPr/>
      <w:tcPr>
        <w:tcBorders>
          <w:insideH w:val="nil"/>
          <w:insideV w:val="nil"/>
        </w:tcBorders>
      </w:tcPr>
    </w:tblStylePr>
  </w:style>
  <w:style w:type="table" w:styleId="61">
    <w:name w:val="Medium Shading 1 Accent 6"/>
    <w:basedOn w:val="32"/>
    <w:qFormat/>
    <w:uiPriority w:val="63"/>
    <w:tblPr>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shd w:val="clear" w:color="auto" w:fill="F79646" w:themeFill="accent6"/>
      </w:tcPr>
    </w:tblStylePr>
    <w:tblStylePr w:type="lastRow">
      <w:pPr>
        <w:spacing w:before="0" w:after="0" w:line="240" w:lineRule="auto"/>
      </w:pPr>
      <w:rPr>
        <w:b/>
        <w:bCs/>
      </w:rPr>
      <w:tblPr/>
      <w:tcPr>
        <w:tcBorders>
          <w:top w:val="double" w:color="F9B074" w:themeColor="accent6" w:themeTint="BF" w:sz="6"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tcPr>
    </w:tblStylePr>
    <w:tblStylePr w:type="firstCol">
      <w:rPr>
        <w:b/>
        <w:bCs/>
      </w:rPr>
    </w:tblStylePr>
    <w:tblStylePr w:type="lastCol">
      <w:rPr>
        <w:b/>
        <w:bCs/>
      </w:rPr>
    </w:tblStylePr>
    <w:tblStylePr w:type="band1Vert">
      <w:tblPr/>
      <w:tcPr>
        <w:shd w:val="clear" w:color="auto" w:fill="FDE5D1" w:themeFill="accent6" w:themeFillTint="3F"/>
      </w:tcPr>
    </w:tblStylePr>
    <w:tblStylePr w:type="band1Horz">
      <w:tblPr/>
      <w:tcPr>
        <w:tcBorders>
          <w:insideH w:val="nil"/>
          <w:insideV w:val="nil"/>
        </w:tcBorders>
        <w:shd w:val="clear" w:color="auto" w:fill="FDE5D1" w:themeFill="accent6" w:themeFillTint="3F"/>
      </w:tcPr>
    </w:tblStylePr>
    <w:tblStylePr w:type="band2Horz">
      <w:tblPr/>
      <w:tcPr>
        <w:tcBorders>
          <w:insideH w:val="nil"/>
          <w:insideV w:val="nil"/>
        </w:tcBorders>
      </w:tcPr>
    </w:tblStylePr>
  </w:style>
  <w:style w:type="table" w:styleId="62">
    <w:name w:val="Medium Shading 2"/>
    <w:basedOn w:val="32"/>
    <w:qFormat/>
    <w:uiPriority w:val="64"/>
    <w:tblPr>
      <w:tblBorders>
        <w:top w:val="single" w:color="auto" w:sz="18" w:space="0"/>
        <w:bottom w:val="single" w:color="auto" w:sz="1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000000" w:themeFill="text1"/>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3">
    <w:name w:val="Medium Shading 2 Accent 1"/>
    <w:basedOn w:val="32"/>
    <w:qFormat/>
    <w:uiPriority w:val="64"/>
    <w:tblPr>
      <w:tblBorders>
        <w:top w:val="single" w:color="auto" w:sz="18" w:space="0"/>
        <w:bottom w:val="single" w:color="auto" w:sz="1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4F81BD" w:themeFill="accent1"/>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4">
    <w:name w:val="Medium Shading 2 Accent 2"/>
    <w:basedOn w:val="32"/>
    <w:qFormat/>
    <w:uiPriority w:val="64"/>
    <w:tblPr>
      <w:tblBorders>
        <w:top w:val="single" w:color="auto" w:sz="18" w:space="0"/>
        <w:bottom w:val="single" w:color="auto" w:sz="1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C0504D" w:themeFill="accent2"/>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5">
    <w:name w:val="Medium Shading 2 Accent 3"/>
    <w:basedOn w:val="32"/>
    <w:qFormat/>
    <w:uiPriority w:val="64"/>
    <w:tblPr>
      <w:tblBorders>
        <w:top w:val="single" w:color="auto" w:sz="18" w:space="0"/>
        <w:bottom w:val="single" w:color="auto" w:sz="1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9BBB59" w:themeFill="accent3"/>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6">
    <w:name w:val="Medium Shading 2 Accent 4"/>
    <w:basedOn w:val="32"/>
    <w:qFormat/>
    <w:uiPriority w:val="64"/>
    <w:tblPr>
      <w:tblBorders>
        <w:top w:val="single" w:color="auto" w:sz="18" w:space="0"/>
        <w:bottom w:val="single" w:color="auto" w:sz="1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8064A2" w:themeFill="accent4"/>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7">
    <w:name w:val="Medium Shading 2 Accent 5"/>
    <w:basedOn w:val="32"/>
    <w:qFormat/>
    <w:uiPriority w:val="64"/>
    <w:tblPr>
      <w:tblBorders>
        <w:top w:val="single" w:color="auto" w:sz="18" w:space="0"/>
        <w:bottom w:val="single" w:color="auto" w:sz="1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4BACC6" w:themeFill="accent5"/>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8">
    <w:name w:val="Medium Shading 2 Accent 6"/>
    <w:basedOn w:val="32"/>
    <w:qFormat/>
    <w:uiPriority w:val="64"/>
    <w:tblPr>
      <w:tblBorders>
        <w:top w:val="single" w:color="auto" w:sz="18" w:space="0"/>
        <w:bottom w:val="single" w:color="auto" w:sz="1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F79646" w:themeFill="accent6"/>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9">
    <w:name w:val="Medium List 1"/>
    <w:basedOn w:val="32"/>
    <w:qFormat/>
    <w:uiPriority w:val="65"/>
    <w:rPr>
      <w:color w:val="000000" w:themeColor="text1"/>
      <w14:textFill>
        <w14:solidFill>
          <w14:schemeClr w14:val="tx1"/>
        </w14:solidFill>
      </w14:textFill>
    </w:rPr>
    <w:tblPr>
      <w:tblBorders>
        <w:top w:val="single" w:color="000000" w:themeColor="text1" w:sz="8" w:space="0"/>
        <w:bottom w:val="single" w:color="000000" w:themeColor="text1" w:sz="8" w:space="0"/>
      </w:tblBorders>
    </w:tblPr>
    <w:tblStylePr w:type="firstRow">
      <w:rPr>
        <w:rFonts w:asciiTheme="majorHAnsi" w:hAnsiTheme="majorHAnsi" w:eastAsiaTheme="majorEastAsia" w:cstheme="majorBidi"/>
      </w:rPr>
      <w:tblPr/>
      <w:tcPr>
        <w:tcBorders>
          <w:top w:val="nil"/>
          <w:bottom w:val="single" w:color="000000" w:themeColor="text1" w:sz="8" w:space="0"/>
        </w:tcBorders>
      </w:tcPr>
    </w:tblStylePr>
    <w:tblStylePr w:type="lastRow">
      <w:rPr>
        <w:b/>
        <w:bCs/>
        <w:color w:val="1F497D" w:themeColor="text2"/>
        <w14:textFill>
          <w14:solidFill>
            <w14:schemeClr w14:val="tx2"/>
          </w14:solidFill>
        </w14:textFill>
      </w:rPr>
      <w:tblPr/>
      <w:tcPr>
        <w:tcBorders>
          <w:top w:val="single" w:color="000000" w:themeColor="text1" w:sz="8" w:space="0"/>
          <w:bottom w:val="single" w:color="000000" w:themeColor="text1" w:sz="8" w:space="0"/>
        </w:tcBorders>
      </w:tcPr>
    </w:tblStylePr>
    <w:tblStylePr w:type="firstCol">
      <w:rPr>
        <w:b/>
        <w:bCs/>
      </w:rPr>
    </w:tblStylePr>
    <w:tblStylePr w:type="lastCol">
      <w:rPr>
        <w:b/>
        <w:bCs/>
      </w:rPr>
      <w:tblPr/>
      <w:tcPr>
        <w:tcBorders>
          <w:top w:val="single" w:color="000000" w:themeColor="text1" w:sz="8" w:space="0"/>
          <w:bottom w:val="single" w:color="000000" w:themeColor="text1" w:sz="8" w:space="0"/>
        </w:tcBorders>
      </w:tcPr>
    </w:tblStylePr>
    <w:tblStylePr w:type="band1Vert">
      <w:tblPr/>
      <w:tcPr>
        <w:shd w:val="clear" w:color="auto" w:fill="BFBFBF" w:themeFill="text1" w:themeFillTint="3F"/>
      </w:tcPr>
    </w:tblStylePr>
    <w:tblStylePr w:type="band1Horz">
      <w:tblPr/>
      <w:tcPr>
        <w:shd w:val="clear" w:color="auto" w:fill="BFBFBF" w:themeFill="text1" w:themeFillTint="3F"/>
      </w:tcPr>
    </w:tblStylePr>
  </w:style>
  <w:style w:type="table" w:styleId="70">
    <w:name w:val="Medium List 1 Accent 1"/>
    <w:basedOn w:val="32"/>
    <w:qFormat/>
    <w:uiPriority w:val="65"/>
    <w:rPr>
      <w:color w:val="000000" w:themeColor="text1"/>
      <w14:textFill>
        <w14:solidFill>
          <w14:schemeClr w14:val="tx1"/>
        </w14:solidFill>
      </w14:textFill>
    </w:rPr>
    <w:tblPr>
      <w:tblBorders>
        <w:top w:val="single" w:color="4F81BD" w:themeColor="accent1" w:sz="8" w:space="0"/>
        <w:bottom w:val="single" w:color="4F81BD" w:themeColor="accent1" w:sz="8" w:space="0"/>
      </w:tblBorders>
    </w:tblPr>
    <w:tblStylePr w:type="firstRow">
      <w:rPr>
        <w:rFonts w:asciiTheme="majorHAnsi" w:hAnsiTheme="majorHAnsi" w:eastAsiaTheme="majorEastAsia" w:cstheme="majorBidi"/>
      </w:rPr>
      <w:tblPr/>
      <w:tcPr>
        <w:tcBorders>
          <w:top w:val="nil"/>
          <w:bottom w:val="single" w:color="4F81BD" w:themeColor="accent1" w:sz="8" w:space="0"/>
        </w:tcBorders>
      </w:tcPr>
    </w:tblStylePr>
    <w:tblStylePr w:type="lastRow">
      <w:rPr>
        <w:b/>
        <w:bCs/>
        <w:color w:val="1F497D" w:themeColor="text2"/>
        <w14:textFill>
          <w14:solidFill>
            <w14:schemeClr w14:val="tx2"/>
          </w14:solidFill>
        </w14:textFill>
      </w:rPr>
      <w:tblPr/>
      <w:tcPr>
        <w:tcBorders>
          <w:top w:val="single" w:color="4F81BD" w:themeColor="accent1" w:sz="8" w:space="0"/>
          <w:bottom w:val="single" w:color="4F81BD" w:themeColor="accent1" w:sz="8" w:space="0"/>
        </w:tcBorders>
      </w:tcPr>
    </w:tblStylePr>
    <w:tblStylePr w:type="firstCol">
      <w:rPr>
        <w:b/>
        <w:bCs/>
      </w:rPr>
    </w:tblStylePr>
    <w:tblStylePr w:type="lastCol">
      <w:rPr>
        <w:b/>
        <w:bCs/>
      </w:rPr>
      <w:tblPr/>
      <w:tcPr>
        <w:tcBorders>
          <w:top w:val="single" w:color="4F81BD" w:themeColor="accent1" w:sz="8" w:space="0"/>
          <w:bottom w:val="single" w:color="4F81BD" w:themeColor="accent1" w:sz="8" w:space="0"/>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71">
    <w:name w:val="Medium List 1 Accent 2"/>
    <w:basedOn w:val="32"/>
    <w:qFormat/>
    <w:uiPriority w:val="65"/>
    <w:rPr>
      <w:color w:val="000000" w:themeColor="text1"/>
      <w14:textFill>
        <w14:solidFill>
          <w14:schemeClr w14:val="tx1"/>
        </w14:solidFill>
      </w14:textFill>
    </w:rPr>
    <w:tblPr>
      <w:tblBorders>
        <w:top w:val="single" w:color="C0504D" w:themeColor="accent2" w:sz="8" w:space="0"/>
        <w:bottom w:val="single" w:color="C0504D" w:themeColor="accent2" w:sz="8" w:space="0"/>
      </w:tblBorders>
    </w:tblPr>
    <w:tblStylePr w:type="firstRow">
      <w:rPr>
        <w:rFonts w:asciiTheme="majorHAnsi" w:hAnsiTheme="majorHAnsi" w:eastAsiaTheme="majorEastAsia" w:cstheme="majorBidi"/>
      </w:rPr>
      <w:tblPr/>
      <w:tcPr>
        <w:tcBorders>
          <w:top w:val="nil"/>
          <w:bottom w:val="single" w:color="C0504D" w:themeColor="accent2" w:sz="8" w:space="0"/>
        </w:tcBorders>
      </w:tcPr>
    </w:tblStylePr>
    <w:tblStylePr w:type="lastRow">
      <w:rPr>
        <w:b/>
        <w:bCs/>
        <w:color w:val="1F497D" w:themeColor="text2"/>
        <w14:textFill>
          <w14:solidFill>
            <w14:schemeClr w14:val="tx2"/>
          </w14:solidFill>
        </w14:textFill>
      </w:rPr>
      <w:tblPr/>
      <w:tcPr>
        <w:tcBorders>
          <w:top w:val="single" w:color="C0504D" w:themeColor="accent2" w:sz="8" w:space="0"/>
          <w:bottom w:val="single" w:color="C0504D" w:themeColor="accent2" w:sz="8" w:space="0"/>
        </w:tcBorders>
      </w:tcPr>
    </w:tblStylePr>
    <w:tblStylePr w:type="firstCol">
      <w:rPr>
        <w:b/>
        <w:bCs/>
      </w:rPr>
    </w:tblStylePr>
    <w:tblStylePr w:type="lastCol">
      <w:rPr>
        <w:b/>
        <w:bCs/>
      </w:rPr>
      <w:tblPr/>
      <w:tcPr>
        <w:tcBorders>
          <w:top w:val="single" w:color="C0504D" w:themeColor="accent2" w:sz="8" w:space="0"/>
          <w:bottom w:val="single" w:color="C0504D" w:themeColor="accent2" w:sz="8" w:space="0"/>
        </w:tcBorders>
      </w:tcPr>
    </w:tblStylePr>
    <w:tblStylePr w:type="band1Vert">
      <w:tblPr/>
      <w:tcPr>
        <w:shd w:val="clear" w:color="auto" w:fill="EFD3D3" w:themeFill="accent2" w:themeFillTint="3F"/>
      </w:tcPr>
    </w:tblStylePr>
    <w:tblStylePr w:type="band1Horz">
      <w:tblPr/>
      <w:tcPr>
        <w:shd w:val="clear" w:color="auto" w:fill="EFD3D3" w:themeFill="accent2" w:themeFillTint="3F"/>
      </w:tcPr>
    </w:tblStylePr>
  </w:style>
  <w:style w:type="table" w:styleId="72">
    <w:name w:val="Medium List 1 Accent 3"/>
    <w:basedOn w:val="32"/>
    <w:qFormat/>
    <w:uiPriority w:val="65"/>
    <w:rPr>
      <w:color w:val="000000" w:themeColor="text1"/>
      <w14:textFill>
        <w14:solidFill>
          <w14:schemeClr w14:val="tx1"/>
        </w14:solidFill>
      </w14:textFill>
    </w:rPr>
    <w:tblPr>
      <w:tblBorders>
        <w:top w:val="single" w:color="9BBB59" w:themeColor="accent3" w:sz="8" w:space="0"/>
        <w:bottom w:val="single" w:color="9BBB59" w:themeColor="accent3" w:sz="8" w:space="0"/>
      </w:tblBorders>
    </w:tblPr>
    <w:tblStylePr w:type="firstRow">
      <w:rPr>
        <w:rFonts w:asciiTheme="majorHAnsi" w:hAnsiTheme="majorHAnsi" w:eastAsiaTheme="majorEastAsia" w:cstheme="majorBidi"/>
      </w:rPr>
      <w:tblPr/>
      <w:tcPr>
        <w:tcBorders>
          <w:top w:val="nil"/>
          <w:bottom w:val="single" w:color="9BBB59" w:themeColor="accent3" w:sz="8" w:space="0"/>
        </w:tcBorders>
      </w:tcPr>
    </w:tblStylePr>
    <w:tblStylePr w:type="lastRow">
      <w:rPr>
        <w:b/>
        <w:bCs/>
        <w:color w:val="1F497D" w:themeColor="text2"/>
        <w14:textFill>
          <w14:solidFill>
            <w14:schemeClr w14:val="tx2"/>
          </w14:solidFill>
        </w14:textFill>
      </w:rPr>
      <w:tblPr/>
      <w:tcPr>
        <w:tcBorders>
          <w:top w:val="single" w:color="9BBB59" w:themeColor="accent3" w:sz="8" w:space="0"/>
          <w:bottom w:val="single" w:color="9BBB59" w:themeColor="accent3" w:sz="8" w:space="0"/>
        </w:tcBorders>
      </w:tcPr>
    </w:tblStylePr>
    <w:tblStylePr w:type="firstCol">
      <w:rPr>
        <w:b/>
        <w:bCs/>
      </w:rPr>
    </w:tblStylePr>
    <w:tblStylePr w:type="lastCol">
      <w:rPr>
        <w:b/>
        <w:bCs/>
      </w:rPr>
      <w:tblPr/>
      <w:tcPr>
        <w:tcBorders>
          <w:top w:val="single" w:color="9BBB59" w:themeColor="accent3" w:sz="8" w:space="0"/>
          <w:bottom w:val="single" w:color="9BBB59" w:themeColor="accent3" w:sz="8" w:space="0"/>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73">
    <w:name w:val="Medium List 1 Accent 4"/>
    <w:basedOn w:val="32"/>
    <w:qFormat/>
    <w:uiPriority w:val="65"/>
    <w:rPr>
      <w:color w:val="000000" w:themeColor="text1"/>
      <w14:textFill>
        <w14:solidFill>
          <w14:schemeClr w14:val="tx1"/>
        </w14:solidFill>
      </w14:textFill>
    </w:rPr>
    <w:tblPr>
      <w:tblBorders>
        <w:top w:val="single" w:color="8064A2" w:themeColor="accent4" w:sz="8" w:space="0"/>
        <w:bottom w:val="single" w:color="8064A2" w:themeColor="accent4" w:sz="8" w:space="0"/>
      </w:tblBorders>
    </w:tblPr>
    <w:tblStylePr w:type="firstRow">
      <w:rPr>
        <w:rFonts w:asciiTheme="majorHAnsi" w:hAnsiTheme="majorHAnsi" w:eastAsiaTheme="majorEastAsia" w:cstheme="majorBidi"/>
      </w:rPr>
      <w:tblPr/>
      <w:tcPr>
        <w:tcBorders>
          <w:top w:val="nil"/>
          <w:bottom w:val="single" w:color="8064A2" w:themeColor="accent4" w:sz="8" w:space="0"/>
        </w:tcBorders>
      </w:tcPr>
    </w:tblStylePr>
    <w:tblStylePr w:type="lastRow">
      <w:rPr>
        <w:b/>
        <w:bCs/>
        <w:color w:val="1F497D" w:themeColor="text2"/>
        <w14:textFill>
          <w14:solidFill>
            <w14:schemeClr w14:val="tx2"/>
          </w14:solidFill>
        </w14:textFill>
      </w:rPr>
      <w:tblPr/>
      <w:tcPr>
        <w:tcBorders>
          <w:top w:val="single" w:color="8064A2" w:themeColor="accent4" w:sz="8" w:space="0"/>
          <w:bottom w:val="single" w:color="8064A2" w:themeColor="accent4" w:sz="8" w:space="0"/>
        </w:tcBorders>
      </w:tcPr>
    </w:tblStylePr>
    <w:tblStylePr w:type="firstCol">
      <w:rPr>
        <w:b/>
        <w:bCs/>
      </w:rPr>
    </w:tblStylePr>
    <w:tblStylePr w:type="lastCol">
      <w:rPr>
        <w:b/>
        <w:bCs/>
      </w:rPr>
      <w:tblPr/>
      <w:tcPr>
        <w:tcBorders>
          <w:top w:val="single" w:color="8064A2" w:themeColor="accent4" w:sz="8" w:space="0"/>
          <w:bottom w:val="single" w:color="8064A2" w:themeColor="accent4" w:sz="8" w:space="0"/>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74">
    <w:name w:val="Medium List 1 Accent 5"/>
    <w:basedOn w:val="32"/>
    <w:qFormat/>
    <w:uiPriority w:val="65"/>
    <w:rPr>
      <w:color w:val="000000" w:themeColor="text1"/>
      <w14:textFill>
        <w14:solidFill>
          <w14:schemeClr w14:val="tx1"/>
        </w14:solidFill>
      </w14:textFill>
    </w:rPr>
    <w:tblPr>
      <w:tblBorders>
        <w:top w:val="single" w:color="4BACC6" w:themeColor="accent5" w:sz="8" w:space="0"/>
        <w:bottom w:val="single" w:color="4BACC6" w:themeColor="accent5" w:sz="8" w:space="0"/>
      </w:tblBorders>
    </w:tblPr>
    <w:tblStylePr w:type="firstRow">
      <w:rPr>
        <w:rFonts w:asciiTheme="majorHAnsi" w:hAnsiTheme="majorHAnsi" w:eastAsiaTheme="majorEastAsia" w:cstheme="majorBidi"/>
      </w:rPr>
      <w:tblPr/>
      <w:tcPr>
        <w:tcBorders>
          <w:top w:val="nil"/>
          <w:bottom w:val="single" w:color="4BACC6" w:themeColor="accent5" w:sz="8" w:space="0"/>
        </w:tcBorders>
      </w:tcPr>
    </w:tblStylePr>
    <w:tblStylePr w:type="lastRow">
      <w:rPr>
        <w:b/>
        <w:bCs/>
        <w:color w:val="1F497D" w:themeColor="text2"/>
        <w14:textFill>
          <w14:solidFill>
            <w14:schemeClr w14:val="tx2"/>
          </w14:solidFill>
        </w14:textFill>
      </w:rPr>
      <w:tblPr/>
      <w:tcPr>
        <w:tcBorders>
          <w:top w:val="single" w:color="4BACC6" w:themeColor="accent5" w:sz="8" w:space="0"/>
          <w:bottom w:val="single" w:color="4BACC6" w:themeColor="accent5" w:sz="8" w:space="0"/>
        </w:tcBorders>
      </w:tcPr>
    </w:tblStylePr>
    <w:tblStylePr w:type="firstCol">
      <w:rPr>
        <w:b/>
        <w:bCs/>
      </w:rPr>
    </w:tblStylePr>
    <w:tblStylePr w:type="lastCol">
      <w:rPr>
        <w:b/>
        <w:bCs/>
      </w:rPr>
      <w:tblPr/>
      <w:tcPr>
        <w:tcBorders>
          <w:top w:val="single" w:color="4BACC6" w:themeColor="accent5" w:sz="8" w:space="0"/>
          <w:bottom w:val="single" w:color="4BACC6" w:themeColor="accent5" w:sz="8" w:space="0"/>
        </w:tcBorders>
      </w:tcPr>
    </w:tblStylePr>
    <w:tblStylePr w:type="band1Vert">
      <w:tblPr/>
      <w:tcPr>
        <w:shd w:val="clear" w:color="auto" w:fill="D2EAF0" w:themeFill="accent5" w:themeFillTint="3F"/>
      </w:tcPr>
    </w:tblStylePr>
    <w:tblStylePr w:type="band1Horz">
      <w:tblPr/>
      <w:tcPr>
        <w:shd w:val="clear" w:color="auto" w:fill="D2EAF0" w:themeFill="accent5" w:themeFillTint="3F"/>
      </w:tcPr>
    </w:tblStylePr>
  </w:style>
  <w:style w:type="table" w:styleId="75">
    <w:name w:val="Medium List 1 Accent 6"/>
    <w:basedOn w:val="32"/>
    <w:qFormat/>
    <w:uiPriority w:val="65"/>
    <w:rPr>
      <w:color w:val="000000" w:themeColor="text1"/>
      <w14:textFill>
        <w14:solidFill>
          <w14:schemeClr w14:val="tx1"/>
        </w14:solidFill>
      </w14:textFill>
    </w:rPr>
    <w:tblPr>
      <w:tblBorders>
        <w:top w:val="single" w:color="F79646" w:themeColor="accent6" w:sz="8" w:space="0"/>
        <w:bottom w:val="single" w:color="F79646" w:themeColor="accent6" w:sz="8" w:space="0"/>
      </w:tblBorders>
    </w:tblPr>
    <w:tblStylePr w:type="firstRow">
      <w:rPr>
        <w:rFonts w:asciiTheme="majorHAnsi" w:hAnsiTheme="majorHAnsi" w:eastAsiaTheme="majorEastAsia" w:cstheme="majorBidi"/>
      </w:rPr>
      <w:tblPr/>
      <w:tcPr>
        <w:tcBorders>
          <w:top w:val="nil"/>
          <w:bottom w:val="single" w:color="F79646" w:themeColor="accent6" w:sz="8" w:space="0"/>
        </w:tcBorders>
      </w:tcPr>
    </w:tblStylePr>
    <w:tblStylePr w:type="lastRow">
      <w:rPr>
        <w:b/>
        <w:bCs/>
        <w:color w:val="1F497D" w:themeColor="text2"/>
        <w14:textFill>
          <w14:solidFill>
            <w14:schemeClr w14:val="tx2"/>
          </w14:solidFill>
        </w14:textFill>
      </w:rPr>
      <w:tblPr/>
      <w:tcPr>
        <w:tcBorders>
          <w:top w:val="single" w:color="F79646" w:themeColor="accent6" w:sz="8" w:space="0"/>
          <w:bottom w:val="single" w:color="F79646" w:themeColor="accent6" w:sz="8" w:space="0"/>
        </w:tcBorders>
      </w:tcPr>
    </w:tblStylePr>
    <w:tblStylePr w:type="firstCol">
      <w:rPr>
        <w:b/>
        <w:bCs/>
      </w:rPr>
    </w:tblStylePr>
    <w:tblStylePr w:type="lastCol">
      <w:rPr>
        <w:b/>
        <w:bCs/>
      </w:rPr>
      <w:tblPr/>
      <w:tcPr>
        <w:tcBorders>
          <w:top w:val="single" w:color="F79646" w:themeColor="accent6" w:sz="8" w:space="0"/>
          <w:bottom w:val="single" w:color="F79646" w:themeColor="accent6" w:sz="8" w:space="0"/>
        </w:tcBorders>
      </w:tcPr>
    </w:tblStylePr>
    <w:tblStylePr w:type="band1Vert">
      <w:tblPr/>
      <w:tcPr>
        <w:shd w:val="clear" w:color="auto" w:fill="FDE5D1" w:themeFill="accent6" w:themeFillTint="3F"/>
      </w:tcPr>
    </w:tblStylePr>
    <w:tblStylePr w:type="band1Horz">
      <w:tblPr/>
      <w:tcPr>
        <w:shd w:val="clear" w:color="auto" w:fill="FDE5D1" w:themeFill="accent6" w:themeFillTint="3F"/>
      </w:tcPr>
    </w:tblStylePr>
  </w:style>
  <w:style w:type="table" w:styleId="76">
    <w:name w:val="Medium List 2"/>
    <w:basedOn w:val="32"/>
    <w:qFormat/>
    <w:uiPriority w:val="66"/>
    <w:rPr>
      <w:rFonts w:asciiTheme="majorHAnsi" w:hAnsiTheme="majorHAnsi" w:eastAsiaTheme="majorEastAsia" w:cstheme="majorBidi"/>
      <w:color w:val="000000" w:themeColor="text1"/>
      <w14:textFill>
        <w14:solidFill>
          <w14:schemeClr w14:val="tx1"/>
        </w14:solidFill>
      </w14:textFill>
    </w:rPr>
    <w:tblPr>
      <w:tblBorders>
        <w:top w:val="single" w:color="000000" w:themeColor="text1" w:sz="8" w:space="0"/>
        <w:left w:val="single" w:color="000000" w:themeColor="text1" w:sz="8" w:space="0"/>
        <w:bottom w:val="single" w:color="000000" w:themeColor="text1" w:sz="8" w:space="0"/>
        <w:right w:val="single" w:color="000000" w:themeColor="text1" w:sz="8" w:space="0"/>
      </w:tblBorders>
    </w:tblPr>
    <w:tblStylePr w:type="firstRow">
      <w:rPr>
        <w:sz w:val="24"/>
        <w:szCs w:val="24"/>
      </w:rPr>
      <w:tblPr/>
      <w:tcPr>
        <w:tcBorders>
          <w:top w:val="nil"/>
          <w:left w:val="nil"/>
          <w:bottom w:val="single" w:color="000000" w:themeColor="text1" w:sz="24" w:space="0"/>
          <w:right w:val="nil"/>
          <w:insideH w:val="nil"/>
          <w:insideV w:val="nil"/>
        </w:tcBorders>
        <w:shd w:val="clear" w:color="auto" w:fill="FFFFFF" w:themeFill="background1"/>
      </w:tcPr>
    </w:tblStylePr>
    <w:tblStylePr w:type="lastRow">
      <w:tblPr/>
      <w:tcPr>
        <w:tcBorders>
          <w:top w:val="single" w:color="000000" w:themeColor="tex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000000" w:themeColor="text1" w:sz="8" w:space="0"/>
          <w:insideH w:val="nil"/>
          <w:insideV w:val="nil"/>
        </w:tcBorders>
        <w:shd w:val="clear" w:color="auto" w:fill="FFFFFF" w:themeFill="background1"/>
      </w:tcPr>
    </w:tblStylePr>
    <w:tblStylePr w:type="lastCol">
      <w:tblPr/>
      <w:tcPr>
        <w:tcBorders>
          <w:top w:val="nil"/>
          <w:left w:val="single" w:color="000000" w:themeColor="tex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FBFBF" w:themeFill="text1" w:themeFillTint="3F"/>
      </w:tcPr>
    </w:tblStylePr>
    <w:tblStylePr w:type="band1Horz">
      <w:tblPr/>
      <w:tcPr>
        <w:tcBorders>
          <w:top w:val="nil"/>
          <w:bottom w:val="nil"/>
          <w:insideH w:val="nil"/>
          <w:insideV w:val="nil"/>
        </w:tcBorders>
        <w:shd w:val="clear" w:color="auto" w:fill="BFBFBF"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77">
    <w:name w:val="Medium List 2 Accent 1"/>
    <w:basedOn w:val="32"/>
    <w:qFormat/>
    <w:uiPriority w:val="66"/>
    <w:rPr>
      <w:rFonts w:asciiTheme="majorHAnsi" w:hAnsiTheme="majorHAnsi" w:eastAsiaTheme="majorEastAsia" w:cstheme="majorBidi"/>
      <w:color w:val="000000" w:themeColor="text1"/>
      <w14:textFill>
        <w14:solidFill>
          <w14:schemeClr w14:val="tx1"/>
        </w14:solidFill>
      </w14:textFill>
    </w:rPr>
    <w:tblPr>
      <w:tblBorders>
        <w:top w:val="single" w:color="4F81BD" w:themeColor="accent1" w:sz="8" w:space="0"/>
        <w:left w:val="single" w:color="4F81BD" w:themeColor="accent1" w:sz="8" w:space="0"/>
        <w:bottom w:val="single" w:color="4F81BD" w:themeColor="accent1" w:sz="8" w:space="0"/>
        <w:right w:val="single" w:color="4F81BD" w:themeColor="accent1" w:sz="8" w:space="0"/>
      </w:tblBorders>
    </w:tblPr>
    <w:tblStylePr w:type="firstRow">
      <w:rPr>
        <w:sz w:val="24"/>
        <w:szCs w:val="24"/>
      </w:rPr>
      <w:tblPr/>
      <w:tcPr>
        <w:tcBorders>
          <w:top w:val="nil"/>
          <w:left w:val="nil"/>
          <w:bottom w:val="single" w:color="4F81BD" w:themeColor="accent1" w:sz="24" w:space="0"/>
          <w:right w:val="nil"/>
          <w:insideH w:val="nil"/>
          <w:insideV w:val="nil"/>
        </w:tcBorders>
        <w:shd w:val="clear" w:color="auto" w:fill="FFFFFF" w:themeFill="background1"/>
      </w:tcPr>
    </w:tblStylePr>
    <w:tblStylePr w:type="lastRow">
      <w:tblPr/>
      <w:tcPr>
        <w:tcBorders>
          <w:top w:val="single" w:color="4F81BD" w:themeColor="accen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F81BD" w:themeColor="accent1" w:sz="8" w:space="0"/>
          <w:insideH w:val="nil"/>
          <w:insideV w:val="nil"/>
        </w:tcBorders>
        <w:shd w:val="clear" w:color="auto" w:fill="FFFFFF" w:themeFill="background1"/>
      </w:tcPr>
    </w:tblStylePr>
    <w:tblStylePr w:type="lastCol">
      <w:tblPr/>
      <w:tcPr>
        <w:tcBorders>
          <w:top w:val="nil"/>
          <w:left w:val="single" w:color="4F81BD" w:themeColor="accen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78">
    <w:name w:val="Medium List 2 Accent 2"/>
    <w:basedOn w:val="32"/>
    <w:qFormat/>
    <w:uiPriority w:val="66"/>
    <w:rPr>
      <w:rFonts w:asciiTheme="majorHAnsi" w:hAnsiTheme="majorHAnsi" w:eastAsiaTheme="majorEastAsia" w:cstheme="majorBidi"/>
      <w:color w:val="000000" w:themeColor="text1"/>
      <w14:textFill>
        <w14:solidFill>
          <w14:schemeClr w14:val="tx1"/>
        </w14:solidFill>
      </w14:textFill>
    </w:rPr>
    <w:tblPr>
      <w:tblBorders>
        <w:top w:val="single" w:color="C0504D" w:themeColor="accent2" w:sz="8" w:space="0"/>
        <w:left w:val="single" w:color="C0504D" w:themeColor="accent2" w:sz="8" w:space="0"/>
        <w:bottom w:val="single" w:color="C0504D" w:themeColor="accent2" w:sz="8" w:space="0"/>
        <w:right w:val="single" w:color="C0504D" w:themeColor="accent2" w:sz="8" w:space="0"/>
      </w:tblBorders>
    </w:tblPr>
    <w:tblStylePr w:type="firstRow">
      <w:rPr>
        <w:sz w:val="24"/>
        <w:szCs w:val="24"/>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tblPr/>
      <w:tcPr>
        <w:tcBorders>
          <w:top w:val="single" w:color="C0504D" w:themeColor="accent2"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C0504D" w:themeColor="accent2" w:sz="8" w:space="0"/>
          <w:insideH w:val="nil"/>
          <w:insideV w:val="nil"/>
        </w:tcBorders>
        <w:shd w:val="clear" w:color="auto" w:fill="FFFFFF" w:themeFill="background1"/>
      </w:tcPr>
    </w:tblStylePr>
    <w:tblStylePr w:type="lastCol">
      <w:tblPr/>
      <w:tcPr>
        <w:tcBorders>
          <w:top w:val="nil"/>
          <w:left w:val="single" w:color="C0504D" w:themeColor="accent2"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3" w:themeFill="accent2" w:themeFillTint="3F"/>
      </w:tcPr>
    </w:tblStylePr>
    <w:tblStylePr w:type="band1Horz">
      <w:tblPr/>
      <w:tcPr>
        <w:tcBorders>
          <w:top w:val="nil"/>
          <w:bottom w:val="nil"/>
          <w:insideH w:val="nil"/>
          <w:insideV w:val="nil"/>
        </w:tcBorders>
        <w:shd w:val="clear" w:color="auto" w:fill="EFD3D3"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79">
    <w:name w:val="Medium List 2 Accent 3"/>
    <w:basedOn w:val="32"/>
    <w:qFormat/>
    <w:uiPriority w:val="66"/>
    <w:rPr>
      <w:rFonts w:asciiTheme="majorHAnsi" w:hAnsiTheme="majorHAnsi" w:eastAsiaTheme="majorEastAsia" w:cstheme="majorBidi"/>
      <w:color w:val="000000" w:themeColor="text1"/>
      <w14:textFill>
        <w14:solidFill>
          <w14:schemeClr w14:val="tx1"/>
        </w14:solidFill>
      </w14:textFill>
    </w:rPr>
    <w:tblPr>
      <w:tblBorders>
        <w:top w:val="single" w:color="9BBB59" w:themeColor="accent3" w:sz="8" w:space="0"/>
        <w:left w:val="single" w:color="9BBB59" w:themeColor="accent3" w:sz="8" w:space="0"/>
        <w:bottom w:val="single" w:color="9BBB59" w:themeColor="accent3" w:sz="8" w:space="0"/>
        <w:right w:val="single" w:color="9BBB59" w:themeColor="accent3" w:sz="8" w:space="0"/>
      </w:tblBorders>
    </w:tblPr>
    <w:tblStylePr w:type="firstRow">
      <w:rPr>
        <w:sz w:val="24"/>
        <w:szCs w:val="24"/>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tblPr/>
      <w:tcPr>
        <w:tcBorders>
          <w:top w:val="single" w:color="9BBB59" w:themeColor="accent3"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9BBB59" w:themeColor="accent3" w:sz="8" w:space="0"/>
          <w:insideH w:val="nil"/>
          <w:insideV w:val="nil"/>
        </w:tcBorders>
        <w:shd w:val="clear" w:color="auto" w:fill="FFFFFF" w:themeFill="background1"/>
      </w:tcPr>
    </w:tblStylePr>
    <w:tblStylePr w:type="lastCol">
      <w:tblPr/>
      <w:tcPr>
        <w:tcBorders>
          <w:top w:val="nil"/>
          <w:left w:val="single" w:color="9BBB59" w:themeColor="accent3"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80">
    <w:name w:val="Medium List 2 Accent 4"/>
    <w:basedOn w:val="32"/>
    <w:qFormat/>
    <w:uiPriority w:val="66"/>
    <w:rPr>
      <w:rFonts w:asciiTheme="majorHAnsi" w:hAnsiTheme="majorHAnsi" w:eastAsiaTheme="majorEastAsia" w:cstheme="majorBidi"/>
      <w:color w:val="000000" w:themeColor="text1"/>
      <w14:textFill>
        <w14:solidFill>
          <w14:schemeClr w14:val="tx1"/>
        </w14:solidFill>
      </w14:textFill>
    </w:rPr>
    <w:tblPr>
      <w:tblBorders>
        <w:top w:val="single" w:color="8064A2" w:themeColor="accent4" w:sz="8" w:space="0"/>
        <w:left w:val="single" w:color="8064A2" w:themeColor="accent4" w:sz="8" w:space="0"/>
        <w:bottom w:val="single" w:color="8064A2" w:themeColor="accent4" w:sz="8" w:space="0"/>
        <w:right w:val="single" w:color="8064A2" w:themeColor="accent4" w:sz="8" w:space="0"/>
      </w:tblBorders>
    </w:tblPr>
    <w:tblStylePr w:type="firstRow">
      <w:rPr>
        <w:sz w:val="24"/>
        <w:szCs w:val="24"/>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tblPr/>
      <w:tcPr>
        <w:tcBorders>
          <w:top w:val="single" w:color="8064A2" w:themeColor="accent4"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8064A2" w:themeColor="accent4" w:sz="8" w:space="0"/>
          <w:insideH w:val="nil"/>
          <w:insideV w:val="nil"/>
        </w:tcBorders>
        <w:shd w:val="clear" w:color="auto" w:fill="FFFFFF" w:themeFill="background1"/>
      </w:tcPr>
    </w:tblStylePr>
    <w:tblStylePr w:type="lastCol">
      <w:tblPr/>
      <w:tcPr>
        <w:tcBorders>
          <w:top w:val="nil"/>
          <w:left w:val="single" w:color="8064A2" w:themeColor="accent4"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81">
    <w:name w:val="Medium List 2 Accent 5"/>
    <w:basedOn w:val="32"/>
    <w:qFormat/>
    <w:uiPriority w:val="66"/>
    <w:rPr>
      <w:rFonts w:asciiTheme="majorHAnsi" w:hAnsiTheme="majorHAnsi" w:eastAsiaTheme="majorEastAsia" w:cstheme="majorBidi"/>
      <w:color w:val="000000" w:themeColor="text1"/>
      <w14:textFill>
        <w14:solidFill>
          <w14:schemeClr w14:val="tx1"/>
        </w14:solidFill>
      </w14:textFill>
    </w:rPr>
    <w:tblPr>
      <w:tblBorders>
        <w:top w:val="single" w:color="4BACC6" w:themeColor="accent5" w:sz="8" w:space="0"/>
        <w:left w:val="single" w:color="4BACC6" w:themeColor="accent5" w:sz="8" w:space="0"/>
        <w:bottom w:val="single" w:color="4BACC6" w:themeColor="accent5" w:sz="8" w:space="0"/>
        <w:right w:val="single" w:color="4BACC6" w:themeColor="accent5" w:sz="8" w:space="0"/>
      </w:tblBorders>
    </w:tblPr>
    <w:tblStylePr w:type="firstRow">
      <w:rPr>
        <w:sz w:val="24"/>
        <w:szCs w:val="24"/>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tblPr/>
      <w:tcPr>
        <w:tcBorders>
          <w:top w:val="single" w:color="4BACC6" w:themeColor="accent5"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BACC6" w:themeColor="accent5" w:sz="8" w:space="0"/>
          <w:insideH w:val="nil"/>
          <w:insideV w:val="nil"/>
        </w:tcBorders>
        <w:shd w:val="clear" w:color="auto" w:fill="FFFFFF" w:themeFill="background1"/>
      </w:tcPr>
    </w:tblStylePr>
    <w:tblStylePr w:type="lastCol">
      <w:tblPr/>
      <w:tcPr>
        <w:tcBorders>
          <w:top w:val="nil"/>
          <w:left w:val="single" w:color="4BACC6" w:themeColor="accent5"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0" w:themeFill="accent5" w:themeFillTint="3F"/>
      </w:tcPr>
    </w:tblStylePr>
    <w:tblStylePr w:type="band1Horz">
      <w:tblPr/>
      <w:tcPr>
        <w:tcBorders>
          <w:top w:val="nil"/>
          <w:bottom w:val="nil"/>
          <w:insideH w:val="nil"/>
          <w:insideV w:val="nil"/>
        </w:tcBorders>
        <w:shd w:val="clear" w:color="auto" w:fill="D2EA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82">
    <w:name w:val="Medium List 2 Accent 6"/>
    <w:basedOn w:val="32"/>
    <w:qFormat/>
    <w:uiPriority w:val="66"/>
    <w:rPr>
      <w:rFonts w:asciiTheme="majorHAnsi" w:hAnsiTheme="majorHAnsi" w:eastAsiaTheme="majorEastAsia" w:cstheme="majorBidi"/>
      <w:color w:val="000000" w:themeColor="text1"/>
      <w14:textFill>
        <w14:solidFill>
          <w14:schemeClr w14:val="tx1"/>
        </w14:solidFill>
      </w14:textFill>
    </w:rPr>
    <w:tblPr>
      <w:tblBorders>
        <w:top w:val="single" w:color="F79646" w:themeColor="accent6" w:sz="8" w:space="0"/>
        <w:left w:val="single" w:color="F79646" w:themeColor="accent6" w:sz="8" w:space="0"/>
        <w:bottom w:val="single" w:color="F79646" w:themeColor="accent6" w:sz="8" w:space="0"/>
        <w:right w:val="single" w:color="F79646" w:themeColor="accent6" w:sz="8" w:space="0"/>
      </w:tblBorders>
    </w:tblPr>
    <w:tblStylePr w:type="firstRow">
      <w:rPr>
        <w:sz w:val="24"/>
        <w:szCs w:val="24"/>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tblPr/>
      <w:tcPr>
        <w:tcBorders>
          <w:top w:val="single" w:color="F79646" w:themeColor="accent6"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F79646" w:themeColor="accent6" w:sz="8" w:space="0"/>
          <w:insideH w:val="nil"/>
          <w:insideV w:val="nil"/>
        </w:tcBorders>
        <w:shd w:val="clear" w:color="auto" w:fill="FFFFFF" w:themeFill="background1"/>
      </w:tcPr>
    </w:tblStylePr>
    <w:tblStylePr w:type="lastCol">
      <w:tblPr/>
      <w:tcPr>
        <w:tcBorders>
          <w:top w:val="nil"/>
          <w:left w:val="single" w:color="F79646" w:themeColor="accent6"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5D1" w:themeFill="accent6" w:themeFillTint="3F"/>
      </w:tcPr>
    </w:tblStylePr>
    <w:tblStylePr w:type="band1Horz">
      <w:tblPr/>
      <w:tcPr>
        <w:tcBorders>
          <w:top w:val="nil"/>
          <w:bottom w:val="nil"/>
          <w:insideH w:val="nil"/>
          <w:insideV w:val="nil"/>
        </w:tcBorders>
        <w:shd w:val="clear" w:color="auto" w:fill="FDE5D1"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83">
    <w:name w:val="Medium Grid 1"/>
    <w:basedOn w:val="32"/>
    <w:qFormat/>
    <w:uiPriority w:val="67"/>
    <w:tblPr>
      <w:tbl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single" w:color="3F3F3F" w:themeColor="text1" w:themeTint="BF" w:sz="8" w:space="0"/>
        <w:insideV w:val="single" w:color="3F3F3F" w:themeColor="text1" w:themeTint="BF" w:sz="8" w:space="0"/>
      </w:tblBorders>
    </w:tblPr>
    <w:tcPr>
      <w:shd w:val="clear" w:color="auto" w:fill="BFBFBF" w:themeFill="text1" w:themeFillTint="3F"/>
    </w:tcPr>
    <w:tblStylePr w:type="firstRow">
      <w:rPr>
        <w:b/>
        <w:bCs/>
      </w:rPr>
    </w:tblStylePr>
    <w:tblStylePr w:type="lastRow">
      <w:rPr>
        <w:b/>
        <w:bCs/>
      </w:rPr>
      <w:tblPr/>
      <w:tcPr>
        <w:tcBorders>
          <w:top w:val="single" w:color="3F3F3F" w:themeColor="text1" w:themeTint="BF" w:sz="18" w:space="0"/>
        </w:tcBorders>
      </w:tcPr>
    </w:tblStylePr>
    <w:tblStylePr w:type="firstCol">
      <w:rPr>
        <w:b/>
        <w:bCs/>
      </w:rPr>
    </w:tblStylePr>
    <w:tblStylePr w:type="lastCol">
      <w:rPr>
        <w:b/>
        <w:bCs/>
      </w:rPr>
    </w:tblStylePr>
    <w:tblStylePr w:type="band1Vert">
      <w:tblPr/>
      <w:tcPr>
        <w:shd w:val="clear" w:color="auto" w:fill="7F7F7F" w:themeFill="text1" w:themeFillTint="7F"/>
      </w:tcPr>
    </w:tblStylePr>
    <w:tblStylePr w:type="band1Horz">
      <w:tblPr/>
      <w:tcPr>
        <w:shd w:val="clear" w:color="auto" w:fill="7F7F7F" w:themeFill="text1" w:themeFillTint="7F"/>
      </w:tcPr>
    </w:tblStylePr>
  </w:style>
  <w:style w:type="table" w:styleId="84">
    <w:name w:val="Medium Grid 1 Accent 1"/>
    <w:basedOn w:val="32"/>
    <w:qFormat/>
    <w:uiPriority w:val="67"/>
    <w:tblPr>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insideV w:val="single" w:color="7BA0CD" w:themeColor="accent1" w:themeTint="BF" w:sz="8" w:space="0"/>
      </w:tblBorders>
    </w:tblPr>
    <w:tcPr>
      <w:shd w:val="clear" w:color="auto" w:fill="D3DFEE" w:themeFill="accent1" w:themeFillTint="3F"/>
    </w:tcPr>
    <w:tblStylePr w:type="firstRow">
      <w:rPr>
        <w:b/>
        <w:bCs/>
      </w:rPr>
    </w:tblStylePr>
    <w:tblStylePr w:type="lastRow">
      <w:rPr>
        <w:b/>
        <w:bCs/>
      </w:rPr>
      <w:tblPr/>
      <w:tcPr>
        <w:tcBorders>
          <w:top w:val="single" w:color="7BA0CD" w:themeColor="accent1" w:themeTint="BF" w:sz="18" w:space="0"/>
        </w:tcBorders>
      </w:tcPr>
    </w:tblStylePr>
    <w:tblStylePr w:type="firstCol">
      <w:rPr>
        <w:b/>
        <w:bCs/>
      </w:rPr>
    </w:tblStylePr>
    <w:tblStylePr w:type="lastCol">
      <w:rPr>
        <w:b/>
        <w:bCs/>
      </w:rPr>
    </w:tblStylePr>
    <w:tblStylePr w:type="band1Vert">
      <w:tblPr/>
      <w:tcPr>
        <w:shd w:val="clear" w:color="auto" w:fill="A7C0DE" w:themeFill="accent1" w:themeFillTint="7F"/>
      </w:tcPr>
    </w:tblStylePr>
    <w:tblStylePr w:type="band1Horz">
      <w:tblPr/>
      <w:tcPr>
        <w:shd w:val="clear" w:color="auto" w:fill="A7C0DE" w:themeFill="accent1" w:themeFillTint="7F"/>
      </w:tcPr>
    </w:tblStylePr>
  </w:style>
  <w:style w:type="table" w:styleId="85">
    <w:name w:val="Medium Grid 1 Accent 2"/>
    <w:basedOn w:val="32"/>
    <w:qFormat/>
    <w:uiPriority w:val="67"/>
    <w:tblPr>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insideV w:val="single" w:color="CF7B79" w:themeColor="accent2" w:themeTint="BF" w:sz="8" w:space="0"/>
      </w:tblBorders>
    </w:tblPr>
    <w:tcPr>
      <w:shd w:val="clear" w:color="auto" w:fill="EFD3D3" w:themeFill="accent2" w:themeFillTint="3F"/>
    </w:tcPr>
    <w:tblStylePr w:type="firstRow">
      <w:rPr>
        <w:b/>
        <w:bCs/>
      </w:rPr>
    </w:tblStylePr>
    <w:tblStylePr w:type="lastRow">
      <w:rPr>
        <w:b/>
        <w:bCs/>
      </w:rPr>
      <w:tblPr/>
      <w:tcPr>
        <w:tcBorders>
          <w:top w:val="single" w:color="CF7B79" w:themeColor="accent2" w:themeTint="BF" w:sz="18" w:space="0"/>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86">
    <w:name w:val="Medium Grid 1 Accent 3"/>
    <w:basedOn w:val="32"/>
    <w:qFormat/>
    <w:uiPriority w:val="67"/>
    <w:tblPr>
      <w:tbl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single" w:color="B4CC82" w:themeColor="accent3" w:themeTint="BF" w:sz="8" w:space="0"/>
        <w:insideV w:val="single" w:color="B4CC82" w:themeColor="accent3" w:themeTint="BF" w:sz="8" w:space="0"/>
      </w:tblBorders>
    </w:tblPr>
    <w:tcPr>
      <w:shd w:val="clear" w:color="auto" w:fill="E6EED5" w:themeFill="accent3" w:themeFillTint="3F"/>
    </w:tcPr>
    <w:tblStylePr w:type="firstRow">
      <w:rPr>
        <w:b/>
        <w:bCs/>
      </w:rPr>
    </w:tblStylePr>
    <w:tblStylePr w:type="lastRow">
      <w:rPr>
        <w:b/>
        <w:bCs/>
      </w:rPr>
      <w:tblPr/>
      <w:tcPr>
        <w:tcBorders>
          <w:top w:val="single" w:color="B4CC82" w:themeColor="accent3" w:themeTint="BF" w:sz="18" w:space="0"/>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87">
    <w:name w:val="Medium Grid 1 Accent 4"/>
    <w:basedOn w:val="32"/>
    <w:qFormat/>
    <w:uiPriority w:val="67"/>
    <w:tblPr>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insideV w:val="single" w:color="9F8AB9" w:themeColor="accent4" w:themeTint="BF" w:sz="8" w:space="0"/>
      </w:tblBorders>
    </w:tblPr>
    <w:tcPr>
      <w:shd w:val="clear" w:color="auto" w:fill="DFD8E8" w:themeFill="accent4" w:themeFillTint="3F"/>
    </w:tcPr>
    <w:tblStylePr w:type="firstRow">
      <w:rPr>
        <w:b/>
        <w:bCs/>
      </w:rPr>
    </w:tblStylePr>
    <w:tblStylePr w:type="lastRow">
      <w:rPr>
        <w:b/>
        <w:bCs/>
      </w:rPr>
      <w:tblPr/>
      <w:tcPr>
        <w:tcBorders>
          <w:top w:val="single" w:color="9F8AB9" w:themeColor="accent4" w:themeTint="BF" w:sz="18" w:space="0"/>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88">
    <w:name w:val="Medium Grid 1 Accent 5"/>
    <w:basedOn w:val="32"/>
    <w:qFormat/>
    <w:uiPriority w:val="67"/>
    <w:tblPr>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insideV w:val="single" w:color="78C0D4" w:themeColor="accent5" w:themeTint="BF" w:sz="8" w:space="0"/>
      </w:tblBorders>
    </w:tblPr>
    <w:tcPr>
      <w:shd w:val="clear" w:color="auto" w:fill="D2EAF0" w:themeFill="accent5" w:themeFillTint="3F"/>
    </w:tcPr>
    <w:tblStylePr w:type="firstRow">
      <w:rPr>
        <w:b/>
        <w:bCs/>
      </w:rPr>
    </w:tblStylePr>
    <w:tblStylePr w:type="lastRow">
      <w:rPr>
        <w:b/>
        <w:bCs/>
      </w:rPr>
      <w:tblPr/>
      <w:tcPr>
        <w:tcBorders>
          <w:top w:val="single" w:color="78C0D4" w:themeColor="accent5" w:themeTint="BF" w:sz="18" w:space="0"/>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89">
    <w:name w:val="Medium Grid 1 Accent 6"/>
    <w:basedOn w:val="32"/>
    <w:qFormat/>
    <w:uiPriority w:val="67"/>
    <w:tblPr>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insideV w:val="single" w:color="F9B074" w:themeColor="accent6" w:themeTint="BF" w:sz="8" w:space="0"/>
      </w:tblBorders>
    </w:tblPr>
    <w:tcPr>
      <w:shd w:val="clear" w:color="auto" w:fill="FDE5D1" w:themeFill="accent6" w:themeFillTint="3F"/>
    </w:tcPr>
    <w:tblStylePr w:type="firstRow">
      <w:rPr>
        <w:b/>
        <w:bCs/>
      </w:rPr>
    </w:tblStylePr>
    <w:tblStylePr w:type="lastRow">
      <w:rPr>
        <w:b/>
        <w:bCs/>
      </w:rPr>
      <w:tblPr/>
      <w:tcPr>
        <w:tcBorders>
          <w:top w:val="single" w:color="F9B074" w:themeColor="accent6" w:themeTint="BF" w:sz="18" w:space="0"/>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90">
    <w:name w:val="Medium Grid 2"/>
    <w:basedOn w:val="32"/>
    <w:qFormat/>
    <w:uiPriority w:val="68"/>
    <w:rPr>
      <w:rFonts w:asciiTheme="majorHAnsi" w:hAnsiTheme="majorHAnsi" w:eastAsiaTheme="majorEastAsia" w:cstheme="majorBidi"/>
      <w:color w:val="000000" w:themeColor="text1"/>
      <w14:textFill>
        <w14:solidFill>
          <w14:schemeClr w14:val="tx1"/>
        </w14:solidFill>
      </w14:textFill>
    </w:rPr>
    <w:tblPr>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Pr>
    <w:tcPr>
      <w:shd w:val="clear" w:color="auto" w:fill="BFBFBF" w:themeFill="text1" w:themeFillTint="3F"/>
    </w:tcPr>
    <w:tblStylePr w:type="firstRow">
      <w:rPr>
        <w:b/>
        <w:bCs/>
        <w:color w:val="000000" w:themeColor="text1"/>
        <w14:textFill>
          <w14:solidFill>
            <w14:schemeClr w14:val="tx1"/>
          </w14:solidFill>
        </w14:textFill>
      </w:rPr>
      <w:tblPr/>
      <w:tcPr>
        <w:shd w:val="clear" w:color="auto" w:fill="E5E5E5" w:themeFill="text1"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7F7F7F" w:themeFill="text1" w:themeFillTint="7F"/>
      </w:tcPr>
    </w:tblStylePr>
    <w:tblStylePr w:type="band1Horz">
      <w:tblPr/>
      <w:tcPr>
        <w:tcBorders>
          <w:insideH w:val="single" w:sz="6" w:space="0"/>
          <w:insideV w:val="single" w:sz="6" w:space="0"/>
        </w:tcBorders>
        <w:shd w:val="clear" w:color="auto" w:fill="7F7F7F" w:themeFill="text1" w:themeFillTint="7F"/>
      </w:tcPr>
    </w:tblStylePr>
    <w:tblStylePr w:type="nwCell">
      <w:tblPr/>
      <w:tcPr>
        <w:shd w:val="clear" w:color="auto" w:fill="FFFFFF" w:themeFill="background1"/>
      </w:tcPr>
    </w:tblStylePr>
  </w:style>
  <w:style w:type="table" w:styleId="91">
    <w:name w:val="Medium Grid 2 Accent 1"/>
    <w:basedOn w:val="32"/>
    <w:qFormat/>
    <w:uiPriority w:val="68"/>
    <w:rPr>
      <w:rFonts w:asciiTheme="majorHAnsi" w:hAnsiTheme="majorHAnsi" w:eastAsiaTheme="majorEastAsia" w:cstheme="majorBidi"/>
      <w:color w:val="000000" w:themeColor="text1"/>
      <w14:textFill>
        <w14:solidFill>
          <w14:schemeClr w14:val="tx1"/>
        </w14:solidFill>
      </w14:textFill>
    </w:rPr>
    <w:tblPr>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Pr>
    <w:tcPr>
      <w:shd w:val="clear" w:color="auto" w:fill="D3DFEE" w:themeFill="accent1" w:themeFillTint="3F"/>
    </w:tcPr>
    <w:tblStylePr w:type="firstRow">
      <w:rPr>
        <w:b/>
        <w:bCs/>
        <w:color w:val="000000" w:themeColor="text1"/>
        <w14:textFill>
          <w14:solidFill>
            <w14:schemeClr w14:val="tx1"/>
          </w14:solidFill>
        </w14:textFill>
      </w:rPr>
      <w:tblPr/>
      <w:tcPr>
        <w:shd w:val="clear" w:color="auto" w:fill="EDF2F8" w:themeFill="accent1"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C0DE" w:themeFill="accent1" w:themeFillTint="7F"/>
      </w:tcPr>
    </w:tblStylePr>
    <w:tblStylePr w:type="band1Horz">
      <w:tblPr/>
      <w:tcPr>
        <w:tcBorders>
          <w:insideH w:val="single" w:sz="6" w:space="0"/>
          <w:insideV w:val="single" w:sz="6" w:space="0"/>
        </w:tcBorders>
        <w:shd w:val="clear" w:color="auto" w:fill="A7C0DE" w:themeFill="accent1" w:themeFillTint="7F"/>
      </w:tcPr>
    </w:tblStylePr>
    <w:tblStylePr w:type="nwCell">
      <w:tblPr/>
      <w:tcPr>
        <w:shd w:val="clear" w:color="auto" w:fill="FFFFFF" w:themeFill="background1"/>
      </w:tcPr>
    </w:tblStylePr>
  </w:style>
  <w:style w:type="table" w:styleId="92">
    <w:name w:val="Medium Grid 2 Accent 2"/>
    <w:basedOn w:val="32"/>
    <w:qFormat/>
    <w:uiPriority w:val="68"/>
    <w:rPr>
      <w:rFonts w:asciiTheme="majorHAnsi" w:hAnsiTheme="majorHAnsi" w:eastAsiaTheme="majorEastAsia" w:cstheme="majorBidi"/>
      <w:color w:val="000000" w:themeColor="text1"/>
      <w14:textFill>
        <w14:solidFill>
          <w14:schemeClr w14:val="tx1"/>
        </w14:solidFill>
      </w14:textFill>
    </w:rPr>
    <w:tblPr>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Pr>
    <w:tcPr>
      <w:shd w:val="clear" w:color="auto" w:fill="EFD3D3" w:themeFill="accent2" w:themeFillTint="3F"/>
    </w:tcPr>
    <w:tblStylePr w:type="firstRow">
      <w:rPr>
        <w:b/>
        <w:bCs/>
        <w:color w:val="000000" w:themeColor="text1"/>
        <w14:textFill>
          <w14:solidFill>
            <w14:schemeClr w14:val="tx1"/>
          </w14:solidFill>
        </w14:textFill>
      </w:rPr>
      <w:tblPr/>
      <w:tcPr>
        <w:shd w:val="clear" w:color="auto" w:fill="F8EDED" w:themeFill="accent2"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insideV w:val="single" w:sz="6" w:space="0"/>
        </w:tcBorders>
        <w:shd w:val="clear" w:color="auto" w:fill="DFA7A6" w:themeFill="accent2" w:themeFillTint="7F"/>
      </w:tcPr>
    </w:tblStylePr>
    <w:tblStylePr w:type="nwCell">
      <w:tblPr/>
      <w:tcPr>
        <w:shd w:val="clear" w:color="auto" w:fill="FFFFFF" w:themeFill="background1"/>
      </w:tcPr>
    </w:tblStylePr>
  </w:style>
  <w:style w:type="table" w:styleId="93">
    <w:name w:val="Medium Grid 2 Accent 3"/>
    <w:basedOn w:val="32"/>
    <w:qFormat/>
    <w:uiPriority w:val="68"/>
    <w:rPr>
      <w:rFonts w:asciiTheme="majorHAnsi" w:hAnsiTheme="majorHAnsi" w:eastAsiaTheme="majorEastAsia" w:cstheme="majorBidi"/>
      <w:color w:val="000000" w:themeColor="text1"/>
      <w14:textFill>
        <w14:solidFill>
          <w14:schemeClr w14:val="tx1"/>
        </w14:solidFill>
      </w14:textFill>
    </w:rPr>
    <w:tblPr>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Pr>
    <w:tcPr>
      <w:shd w:val="clear" w:color="auto" w:fill="E6EED5" w:themeFill="accent3" w:themeFillTint="3F"/>
    </w:tcPr>
    <w:tblStylePr w:type="firstRow">
      <w:rPr>
        <w:b/>
        <w:bCs/>
        <w:color w:val="000000" w:themeColor="text1"/>
        <w14:textFill>
          <w14:solidFill>
            <w14:schemeClr w14:val="tx1"/>
          </w14:solidFill>
        </w14:textFill>
      </w:rPr>
      <w:tblPr/>
      <w:tcPr>
        <w:shd w:val="clear" w:color="auto" w:fill="F5F8EE" w:themeFill="accent3"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insideV w:val="single" w:sz="6" w:space="0"/>
        </w:tcBorders>
        <w:shd w:val="clear" w:color="auto" w:fill="CDDDAC" w:themeFill="accent3" w:themeFillTint="7F"/>
      </w:tcPr>
    </w:tblStylePr>
    <w:tblStylePr w:type="nwCell">
      <w:tblPr/>
      <w:tcPr>
        <w:shd w:val="clear" w:color="auto" w:fill="FFFFFF" w:themeFill="background1"/>
      </w:tcPr>
    </w:tblStylePr>
  </w:style>
  <w:style w:type="table" w:styleId="94">
    <w:name w:val="Medium Grid 2 Accent 4"/>
    <w:basedOn w:val="32"/>
    <w:qFormat/>
    <w:uiPriority w:val="68"/>
    <w:rPr>
      <w:rFonts w:asciiTheme="majorHAnsi" w:hAnsiTheme="majorHAnsi" w:eastAsiaTheme="majorEastAsia" w:cstheme="majorBidi"/>
      <w:color w:val="000000" w:themeColor="text1"/>
      <w14:textFill>
        <w14:solidFill>
          <w14:schemeClr w14:val="tx1"/>
        </w14:solidFill>
      </w14:textFill>
    </w:rPr>
    <w:tblPr>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Pr>
    <w:tcPr>
      <w:shd w:val="clear" w:color="auto" w:fill="DFD8E8" w:themeFill="accent4" w:themeFillTint="3F"/>
    </w:tcPr>
    <w:tblStylePr w:type="firstRow">
      <w:rPr>
        <w:b/>
        <w:bCs/>
        <w:color w:val="000000" w:themeColor="text1"/>
        <w14:textFill>
          <w14:solidFill>
            <w14:schemeClr w14:val="tx1"/>
          </w14:solidFill>
        </w14:textFill>
      </w:rPr>
      <w:tblPr/>
      <w:tcPr>
        <w:shd w:val="clear" w:color="auto" w:fill="F2EFF5" w:themeFill="accent4"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insideV w:val="single" w:sz="6" w:space="0"/>
        </w:tcBorders>
        <w:shd w:val="clear" w:color="auto" w:fill="BFB1D0" w:themeFill="accent4" w:themeFillTint="7F"/>
      </w:tcPr>
    </w:tblStylePr>
    <w:tblStylePr w:type="nwCell">
      <w:tblPr/>
      <w:tcPr>
        <w:shd w:val="clear" w:color="auto" w:fill="FFFFFF" w:themeFill="background1"/>
      </w:tcPr>
    </w:tblStylePr>
  </w:style>
  <w:style w:type="table" w:styleId="95">
    <w:name w:val="Medium Grid 2 Accent 5"/>
    <w:basedOn w:val="32"/>
    <w:qFormat/>
    <w:uiPriority w:val="68"/>
    <w:rPr>
      <w:rFonts w:asciiTheme="majorHAnsi" w:hAnsiTheme="majorHAnsi" w:eastAsiaTheme="majorEastAsia" w:cstheme="majorBidi"/>
      <w:color w:val="000000" w:themeColor="text1"/>
      <w14:textFill>
        <w14:solidFill>
          <w14:schemeClr w14:val="tx1"/>
        </w14:solidFill>
      </w14:textFill>
    </w:rPr>
    <w:tblPr>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Pr>
    <w:tcPr>
      <w:shd w:val="clear" w:color="auto" w:fill="D2EAF0" w:themeFill="accent5" w:themeFillTint="3F"/>
    </w:tcPr>
    <w:tblStylePr w:type="firstRow">
      <w:rPr>
        <w:b/>
        <w:bCs/>
        <w:color w:val="000000" w:themeColor="text1"/>
        <w14:textFill>
          <w14:solidFill>
            <w14:schemeClr w14:val="tx1"/>
          </w14:solidFill>
        </w14:textFill>
      </w:rPr>
      <w:tblPr/>
      <w:tcPr>
        <w:shd w:val="clear" w:color="auto" w:fill="EDF6F9" w:themeFill="accent5"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insideV w:val="single" w:sz="6" w:space="0"/>
        </w:tcBorders>
        <w:shd w:val="clear" w:color="auto" w:fill="A5D5E2" w:themeFill="accent5" w:themeFillTint="7F"/>
      </w:tcPr>
    </w:tblStylePr>
    <w:tblStylePr w:type="nwCell">
      <w:tblPr/>
      <w:tcPr>
        <w:shd w:val="clear" w:color="auto" w:fill="FFFFFF" w:themeFill="background1"/>
      </w:tcPr>
    </w:tblStylePr>
  </w:style>
  <w:style w:type="table" w:styleId="96">
    <w:name w:val="Medium Grid 2 Accent 6"/>
    <w:basedOn w:val="32"/>
    <w:qFormat/>
    <w:uiPriority w:val="68"/>
    <w:rPr>
      <w:rFonts w:asciiTheme="majorHAnsi" w:hAnsiTheme="majorHAnsi" w:eastAsiaTheme="majorEastAsia" w:cstheme="majorBidi"/>
      <w:color w:val="000000" w:themeColor="text1"/>
      <w14:textFill>
        <w14:solidFill>
          <w14:schemeClr w14:val="tx1"/>
        </w14:solidFill>
      </w14:textFill>
    </w:rPr>
    <w:tblPr>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Pr>
    <w:tcPr>
      <w:shd w:val="clear" w:color="auto" w:fill="FDE5D1" w:themeFill="accent6" w:themeFillTint="3F"/>
    </w:tcPr>
    <w:tblStylePr w:type="firstRow">
      <w:rPr>
        <w:b/>
        <w:bCs/>
        <w:color w:val="000000" w:themeColor="text1"/>
        <w14:textFill>
          <w14:solidFill>
            <w14:schemeClr w14:val="tx1"/>
          </w14:solidFill>
        </w14:textFill>
      </w:rPr>
      <w:tblPr/>
      <w:tcPr>
        <w:shd w:val="clear" w:color="auto" w:fill="FEF4EC" w:themeFill="accent6"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insideV w:val="single" w:sz="6" w:space="0"/>
        </w:tcBorders>
        <w:shd w:val="clear" w:color="auto" w:fill="FBCAA2" w:themeFill="accent6" w:themeFillTint="7F"/>
      </w:tcPr>
    </w:tblStylePr>
    <w:tblStylePr w:type="nwCell">
      <w:tblPr/>
      <w:tcPr>
        <w:shd w:val="clear" w:color="auto" w:fill="FFFFFF" w:themeFill="background1"/>
      </w:tcPr>
    </w:tblStylePr>
  </w:style>
  <w:style w:type="table" w:styleId="97">
    <w:name w:val="Medium Grid 3"/>
    <w:basedOn w:val="32"/>
    <w:qFormat/>
    <w:uiPriority w:val="69"/>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BFBFBF" w:themeFill="text1"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000000" w:themeFill="text1"/>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000000" w:themeFill="text1"/>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000000" w:themeFill="text1"/>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000000" w:themeFill="tex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7F7F7F" w:themeFill="tex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7F7F7F" w:themeFill="text1" w:themeFillTint="7F"/>
      </w:tcPr>
    </w:tblStylePr>
  </w:style>
  <w:style w:type="table" w:styleId="98">
    <w:name w:val="Medium Grid 3 Accent 1"/>
    <w:basedOn w:val="32"/>
    <w:qFormat/>
    <w:uiPriority w:val="69"/>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D3DFEE" w:themeFill="accent1"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4F81BD" w:themeFill="accent1"/>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4F81BD" w:themeFill="accent1"/>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4F81BD" w:themeFill="accent1"/>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4F81BD" w:themeFill="accen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7C0DE" w:themeFill="accen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7C0DE" w:themeFill="accent1" w:themeFillTint="7F"/>
      </w:tcPr>
    </w:tblStylePr>
  </w:style>
  <w:style w:type="table" w:styleId="99">
    <w:name w:val="Medium Grid 3 Accent 2"/>
    <w:basedOn w:val="32"/>
    <w:qFormat/>
    <w:uiPriority w:val="69"/>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EFD3D3" w:themeFill="accent2"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C0504D" w:themeFill="accent2"/>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C0504D" w:themeFill="accent2"/>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C0504D" w:themeFill="accent2"/>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C0504D" w:themeFill="accent2"/>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DFA7A6" w:themeFill="accent2"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DFA7A6" w:themeFill="accent2" w:themeFillTint="7F"/>
      </w:tcPr>
    </w:tblStylePr>
  </w:style>
  <w:style w:type="table" w:styleId="100">
    <w:name w:val="Medium Grid 3 Accent 3"/>
    <w:basedOn w:val="32"/>
    <w:qFormat/>
    <w:uiPriority w:val="69"/>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E6EED5" w:themeFill="accent3"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9BBB59" w:themeFill="accent3"/>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9BBB59" w:themeFill="accent3"/>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9BBB59" w:themeFill="accent3"/>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9BBB59" w:themeFill="accent3"/>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CDDDAC" w:themeFill="accent3"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CDDDAC" w:themeFill="accent3" w:themeFillTint="7F"/>
      </w:tcPr>
    </w:tblStylePr>
  </w:style>
  <w:style w:type="table" w:styleId="101">
    <w:name w:val="Medium Grid 3 Accent 4"/>
    <w:basedOn w:val="32"/>
    <w:qFormat/>
    <w:uiPriority w:val="69"/>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DFD8E8" w:themeFill="accent4"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8064A2" w:themeFill="accent4"/>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8064A2" w:themeFill="accent4"/>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8064A2" w:themeFill="accent4"/>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8064A2" w:themeFill="accent4"/>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BFB1D0" w:themeFill="accent4"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BFB1D0" w:themeFill="accent4" w:themeFillTint="7F"/>
      </w:tcPr>
    </w:tblStylePr>
  </w:style>
  <w:style w:type="table" w:styleId="102">
    <w:name w:val="Medium Grid 3 Accent 5"/>
    <w:basedOn w:val="32"/>
    <w:qFormat/>
    <w:uiPriority w:val="69"/>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D2EAF0" w:themeFill="accent5"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4BACC6" w:themeFill="accent5"/>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4BACC6" w:themeFill="accent5"/>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4BACC6" w:themeFill="accent5"/>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4BACC6" w:themeFill="accent5"/>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5D5E2" w:themeFill="accent5"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5D5E2" w:themeFill="accent5" w:themeFillTint="7F"/>
      </w:tcPr>
    </w:tblStylePr>
  </w:style>
  <w:style w:type="table" w:styleId="103">
    <w:name w:val="Medium Grid 3 Accent 6"/>
    <w:basedOn w:val="32"/>
    <w:qFormat/>
    <w:uiPriority w:val="69"/>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FDE5D1" w:themeFill="accent6"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F79646" w:themeFill="accent6"/>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F79646" w:themeFill="accent6"/>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F79646" w:themeFill="accent6"/>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F79646" w:themeFill="accent6"/>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FBCAA2" w:themeFill="accent6"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FBCAA2" w:themeFill="accent6" w:themeFillTint="7F"/>
      </w:tcPr>
    </w:tblStylePr>
  </w:style>
  <w:style w:type="table" w:styleId="104">
    <w:name w:val="Dark List"/>
    <w:basedOn w:val="32"/>
    <w:qFormat/>
    <w:uiPriority w:val="70"/>
    <w:rPr>
      <w:color w:val="FFFFFF" w:themeColor="background1"/>
      <w14:textFill>
        <w14:solidFill>
          <w14:schemeClr w14:val="bg1"/>
        </w14:solidFill>
      </w14:textFill>
    </w:rPr>
    <w:tblPr>
      <w:tblStyleRowBandSize w:val="1"/>
      <w:tblStyleColBandSize w:val="1"/>
    </w:tblPr>
    <w:tcPr>
      <w:shd w:val="clear" w:color="auto" w:fill="000000" w:themeFill="tex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color="FFFFFF" w:themeColor="background1" w:sz="18" w:space="0"/>
          <w:insideH w:val="nil"/>
          <w:insideV w:val="nil"/>
        </w:tcBorders>
        <w:shd w:val="clear" w:color="auto" w:fill="000000" w:themeFill="text1" w:themeFillShade="BF"/>
      </w:tcPr>
    </w:tblStylePr>
    <w:tblStylePr w:type="lastCol">
      <w:tblPr/>
      <w:tcPr>
        <w:tcBorders>
          <w:top w:val="nil"/>
          <w:left w:val="single" w:color="FFFFFF" w:themeColor="background1" w:sz="18" w:space="0"/>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05">
    <w:name w:val="Dark List Accent 1"/>
    <w:basedOn w:val="32"/>
    <w:qFormat/>
    <w:uiPriority w:val="70"/>
    <w:rPr>
      <w:color w:val="FFFFFF" w:themeColor="background1"/>
      <w14:textFill>
        <w14:solidFill>
          <w14:schemeClr w14:val="bg1"/>
        </w14:solidFill>
      </w14:textFill>
    </w:rPr>
    <w:tblPr>
      <w:tblStyleRowBandSize w:val="1"/>
      <w:tblStyleColBandSize w:val="1"/>
    </w:tblPr>
    <w:tcPr>
      <w:shd w:val="clear" w:color="auto" w:fill="4F81BD" w:themeFill="accen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43F61" w:themeFill="accent1" w:themeFillShade="7F"/>
      </w:tcPr>
    </w:tblStylePr>
    <w:tblStylePr w:type="firstCol">
      <w:tblPr/>
      <w:tcPr>
        <w:tcBorders>
          <w:top w:val="nil"/>
          <w:left w:val="nil"/>
          <w:bottom w:val="nil"/>
          <w:right w:val="single" w:color="FFFFFF" w:themeColor="background1" w:sz="18" w:space="0"/>
          <w:insideH w:val="nil"/>
          <w:insideV w:val="nil"/>
        </w:tcBorders>
        <w:shd w:val="clear" w:color="auto" w:fill="366091" w:themeFill="accent1" w:themeFillShade="BF"/>
      </w:tcPr>
    </w:tblStylePr>
    <w:tblStylePr w:type="lastCol">
      <w:tblPr/>
      <w:tcPr>
        <w:tcBorders>
          <w:top w:val="nil"/>
          <w:left w:val="single" w:color="FFFFFF" w:themeColor="background1" w:sz="18" w:space="0"/>
          <w:bottom w:val="nil"/>
          <w:right w:val="nil"/>
          <w:insideH w:val="nil"/>
          <w:insideV w:val="nil"/>
        </w:tcBorders>
        <w:shd w:val="clear" w:color="auto" w:fill="366091" w:themeFill="accent1" w:themeFillShade="BF"/>
      </w:tcPr>
    </w:tblStylePr>
    <w:tblStylePr w:type="band1Vert">
      <w:tblPr/>
      <w:tcPr>
        <w:tcBorders>
          <w:top w:val="nil"/>
          <w:left w:val="nil"/>
          <w:bottom w:val="nil"/>
          <w:right w:val="nil"/>
          <w:insideH w:val="nil"/>
          <w:insideV w:val="nil"/>
        </w:tcBorders>
        <w:shd w:val="clear" w:color="auto" w:fill="366091" w:themeFill="accent1" w:themeFillShade="BF"/>
      </w:tcPr>
    </w:tblStylePr>
    <w:tblStylePr w:type="band1Horz">
      <w:tblPr/>
      <w:tcPr>
        <w:tcBorders>
          <w:top w:val="nil"/>
          <w:left w:val="nil"/>
          <w:bottom w:val="nil"/>
          <w:right w:val="nil"/>
          <w:insideH w:val="nil"/>
          <w:insideV w:val="nil"/>
        </w:tcBorders>
        <w:shd w:val="clear" w:color="auto" w:fill="366091" w:themeFill="accent1" w:themeFillShade="BF"/>
      </w:tcPr>
    </w:tblStylePr>
  </w:style>
  <w:style w:type="table" w:styleId="106">
    <w:name w:val="Dark List Accent 2"/>
    <w:basedOn w:val="32"/>
    <w:qFormat/>
    <w:uiPriority w:val="70"/>
    <w:rPr>
      <w:color w:val="FFFFFF" w:themeColor="background1"/>
      <w14:textFill>
        <w14:solidFill>
          <w14:schemeClr w14:val="bg1"/>
        </w14:solidFill>
      </w14:textFill>
    </w:rPr>
    <w:tblPr>
      <w:tblStyleRowBandSize w:val="1"/>
      <w:tblStyleColBandSize w:val="1"/>
    </w:tblPr>
    <w:tcPr>
      <w:shd w:val="clear" w:color="auto" w:fill="C0504D" w:themeFill="accent2"/>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color="FFFFFF" w:themeColor="background1" w:sz="18" w:space="0"/>
          <w:insideH w:val="nil"/>
          <w:insideV w:val="nil"/>
        </w:tcBorders>
        <w:shd w:val="clear" w:color="auto" w:fill="943734" w:themeFill="accent2" w:themeFillShade="BF"/>
      </w:tcPr>
    </w:tblStylePr>
    <w:tblStylePr w:type="lastCol">
      <w:tblPr/>
      <w:tcPr>
        <w:tcBorders>
          <w:top w:val="nil"/>
          <w:left w:val="single" w:color="FFFFFF" w:themeColor="background1" w:sz="18" w:space="0"/>
          <w:bottom w:val="nil"/>
          <w:right w:val="nil"/>
          <w:insideH w:val="nil"/>
          <w:insideV w:val="nil"/>
        </w:tcBorders>
        <w:shd w:val="clear" w:color="auto" w:fill="943734" w:themeFill="accent2" w:themeFillShade="BF"/>
      </w:tcPr>
    </w:tblStylePr>
    <w:tblStylePr w:type="band1Vert">
      <w:tblPr/>
      <w:tcPr>
        <w:tcBorders>
          <w:top w:val="nil"/>
          <w:left w:val="nil"/>
          <w:bottom w:val="nil"/>
          <w:right w:val="nil"/>
          <w:insideH w:val="nil"/>
          <w:insideV w:val="nil"/>
        </w:tcBorders>
        <w:shd w:val="clear" w:color="auto" w:fill="943734" w:themeFill="accent2" w:themeFillShade="BF"/>
      </w:tcPr>
    </w:tblStylePr>
    <w:tblStylePr w:type="band1Horz">
      <w:tblPr/>
      <w:tcPr>
        <w:tcBorders>
          <w:top w:val="nil"/>
          <w:left w:val="nil"/>
          <w:bottom w:val="nil"/>
          <w:right w:val="nil"/>
          <w:insideH w:val="nil"/>
          <w:insideV w:val="nil"/>
        </w:tcBorders>
        <w:shd w:val="clear" w:color="auto" w:fill="943734" w:themeFill="accent2" w:themeFillShade="BF"/>
      </w:tcPr>
    </w:tblStylePr>
  </w:style>
  <w:style w:type="table" w:styleId="107">
    <w:name w:val="Dark List Accent 3"/>
    <w:basedOn w:val="32"/>
    <w:qFormat/>
    <w:uiPriority w:val="70"/>
    <w:rPr>
      <w:color w:val="FFFFFF" w:themeColor="background1"/>
      <w14:textFill>
        <w14:solidFill>
          <w14:schemeClr w14:val="bg1"/>
        </w14:solidFill>
      </w14:textFill>
    </w:rPr>
    <w:tblPr>
      <w:tblStyleRowBandSize w:val="1"/>
      <w:tblStyleColBandSize w:val="1"/>
    </w:tblPr>
    <w:tcPr>
      <w:shd w:val="clear" w:color="auto" w:fill="9BBB59" w:themeFill="accent3"/>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4E6127" w:themeFill="accent3" w:themeFillShade="7F"/>
      </w:tcPr>
    </w:tblStylePr>
    <w:tblStylePr w:type="firstCol">
      <w:tblPr/>
      <w:tcPr>
        <w:tcBorders>
          <w:top w:val="nil"/>
          <w:left w:val="nil"/>
          <w:bottom w:val="nil"/>
          <w:right w:val="single" w:color="FFFFFF" w:themeColor="background1" w:sz="18" w:space="0"/>
          <w:insideH w:val="nil"/>
          <w:insideV w:val="nil"/>
        </w:tcBorders>
        <w:shd w:val="clear" w:color="auto" w:fill="76923C" w:themeFill="accent3" w:themeFillShade="BF"/>
      </w:tcPr>
    </w:tblStylePr>
    <w:tblStylePr w:type="lastCol">
      <w:tblPr/>
      <w:tcPr>
        <w:tcBorders>
          <w:top w:val="nil"/>
          <w:left w:val="single" w:color="FFFFFF" w:themeColor="background1" w:sz="18" w:space="0"/>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108">
    <w:name w:val="Dark List Accent 4"/>
    <w:basedOn w:val="32"/>
    <w:qFormat/>
    <w:uiPriority w:val="70"/>
    <w:rPr>
      <w:color w:val="FFFFFF" w:themeColor="background1"/>
      <w14:textFill>
        <w14:solidFill>
          <w14:schemeClr w14:val="bg1"/>
        </w14:solidFill>
      </w14:textFill>
    </w:rPr>
    <w:tblPr>
      <w:tblStyleRowBandSize w:val="1"/>
      <w:tblStyleColBandSize w:val="1"/>
    </w:tblPr>
    <w:tcPr>
      <w:shd w:val="clear" w:color="auto" w:fill="8064A2" w:themeFill="accent4"/>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3F3051" w:themeFill="accent4" w:themeFillShade="7F"/>
      </w:tcPr>
    </w:tblStylePr>
    <w:tblStylePr w:type="firstCol">
      <w:tblPr/>
      <w:tcPr>
        <w:tcBorders>
          <w:top w:val="nil"/>
          <w:left w:val="nil"/>
          <w:bottom w:val="nil"/>
          <w:right w:val="single" w:color="FFFFFF" w:themeColor="background1" w:sz="18" w:space="0"/>
          <w:insideH w:val="nil"/>
          <w:insideV w:val="nil"/>
        </w:tcBorders>
        <w:shd w:val="clear" w:color="auto" w:fill="5F497A" w:themeFill="accent4" w:themeFillShade="BF"/>
      </w:tcPr>
    </w:tblStylePr>
    <w:tblStylePr w:type="lastCol">
      <w:tblPr/>
      <w:tcPr>
        <w:tcBorders>
          <w:top w:val="nil"/>
          <w:left w:val="single" w:color="FFFFFF" w:themeColor="background1" w:sz="18" w:space="0"/>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109">
    <w:name w:val="Dark List Accent 5"/>
    <w:basedOn w:val="32"/>
    <w:qFormat/>
    <w:uiPriority w:val="70"/>
    <w:rPr>
      <w:color w:val="FFFFFF" w:themeColor="background1"/>
      <w14:textFill>
        <w14:solidFill>
          <w14:schemeClr w14:val="bg1"/>
        </w14:solidFill>
      </w14:textFill>
    </w:rPr>
    <w:tblPr>
      <w:tblStyleRowBandSize w:val="1"/>
      <w:tblStyleColBandSize w:val="1"/>
    </w:tblPr>
    <w:tcPr>
      <w:shd w:val="clear" w:color="auto" w:fill="4BACC6" w:themeFill="accent5"/>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color="FFFFFF" w:themeColor="background1" w:sz="18" w:space="0"/>
          <w:insideH w:val="nil"/>
          <w:insideV w:val="nil"/>
        </w:tcBorders>
        <w:shd w:val="clear" w:color="auto" w:fill="31849B" w:themeFill="accent5" w:themeFillShade="BF"/>
      </w:tcPr>
    </w:tblStylePr>
    <w:tblStylePr w:type="lastCol">
      <w:tblPr/>
      <w:tcPr>
        <w:tcBorders>
          <w:top w:val="nil"/>
          <w:left w:val="single" w:color="FFFFFF" w:themeColor="background1" w:sz="18" w:space="0"/>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110">
    <w:name w:val="Dark List Accent 6"/>
    <w:basedOn w:val="32"/>
    <w:qFormat/>
    <w:uiPriority w:val="70"/>
    <w:rPr>
      <w:color w:val="FFFFFF" w:themeColor="background1"/>
      <w14:textFill>
        <w14:solidFill>
          <w14:schemeClr w14:val="bg1"/>
        </w14:solidFill>
      </w14:textFill>
    </w:rPr>
    <w:tblPr>
      <w:tblStyleRowBandSize w:val="1"/>
      <w:tblStyleColBandSize w:val="1"/>
    </w:tblPr>
    <w:tcPr>
      <w:shd w:val="clear" w:color="auto" w:fill="F79646" w:themeFill="accent6"/>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color="FFFFFF" w:themeColor="background1" w:sz="18" w:space="0"/>
          <w:insideH w:val="nil"/>
          <w:insideV w:val="nil"/>
        </w:tcBorders>
        <w:shd w:val="clear" w:color="auto" w:fill="E36C09" w:themeFill="accent6" w:themeFillShade="BF"/>
      </w:tcPr>
    </w:tblStylePr>
    <w:tblStylePr w:type="lastCol">
      <w:tblPr/>
      <w:tcPr>
        <w:tcBorders>
          <w:top w:val="nil"/>
          <w:left w:val="single" w:color="FFFFFF" w:themeColor="background1" w:sz="18" w:space="0"/>
          <w:bottom w:val="nil"/>
          <w:right w:val="nil"/>
          <w:insideH w:val="nil"/>
          <w:insideV w:val="nil"/>
        </w:tcBorders>
        <w:shd w:val="clear" w:color="auto" w:fill="E36C09" w:themeFill="accent6" w:themeFillShade="BF"/>
      </w:tcPr>
    </w:tblStylePr>
    <w:tblStylePr w:type="band1Vert">
      <w:tblPr/>
      <w:tcPr>
        <w:tcBorders>
          <w:top w:val="nil"/>
          <w:left w:val="nil"/>
          <w:bottom w:val="nil"/>
          <w:right w:val="nil"/>
          <w:insideH w:val="nil"/>
          <w:insideV w:val="nil"/>
        </w:tcBorders>
        <w:shd w:val="clear" w:color="auto" w:fill="E36C09" w:themeFill="accent6" w:themeFillShade="BF"/>
      </w:tcPr>
    </w:tblStylePr>
    <w:tblStylePr w:type="band1Horz">
      <w:tblPr/>
      <w:tcPr>
        <w:tcBorders>
          <w:top w:val="nil"/>
          <w:left w:val="nil"/>
          <w:bottom w:val="nil"/>
          <w:right w:val="nil"/>
          <w:insideH w:val="nil"/>
          <w:insideV w:val="nil"/>
        </w:tcBorders>
        <w:shd w:val="clear" w:color="auto" w:fill="E36C09" w:themeFill="accent6" w:themeFillShade="BF"/>
      </w:tcPr>
    </w:tblStylePr>
  </w:style>
  <w:style w:type="table" w:styleId="111">
    <w:name w:val="Colorful Shading"/>
    <w:basedOn w:val="32"/>
    <w:qFormat/>
    <w:uiPriority w:val="71"/>
    <w:rPr>
      <w:color w:val="000000" w:themeColor="text1"/>
      <w14:textFill>
        <w14:solidFill>
          <w14:schemeClr w14:val="tx1"/>
        </w14:solidFill>
      </w14:textFill>
    </w:rPr>
    <w:tblPr>
      <w:tblBorders>
        <w:top w:val="single" w:color="C0504D" w:themeColor="accent2" w:sz="24" w:space="0"/>
        <w:left w:val="single" w:color="000000" w:themeColor="text1" w:sz="4" w:space="0"/>
        <w:bottom w:val="single" w:color="000000" w:themeColor="text1" w:sz="4" w:space="0"/>
        <w:right w:val="single" w:color="000000" w:themeColor="text1" w:sz="4" w:space="0"/>
        <w:insideH w:val="single" w:color="FFFFFF" w:themeColor="background1" w:sz="4" w:space="0"/>
        <w:insideV w:val="single" w:color="FFFFFF" w:themeColor="background1" w:sz="4" w:space="0"/>
      </w:tblBorders>
    </w:tblPr>
    <w:tcPr>
      <w:shd w:val="clear" w:color="auto" w:fill="E5E5E5" w:themeFill="tex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000000" w:themeFill="text1"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000000" w:themeFill="text1"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7F7F7F" w:themeFill="text1"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2">
    <w:name w:val="Colorful Shading Accent 1"/>
    <w:basedOn w:val="32"/>
    <w:qFormat/>
    <w:uiPriority w:val="71"/>
    <w:rPr>
      <w:color w:val="000000" w:themeColor="text1"/>
      <w14:textFill>
        <w14:solidFill>
          <w14:schemeClr w14:val="tx1"/>
        </w14:solidFill>
      </w14:textFill>
    </w:rPr>
    <w:tblPr>
      <w:tblBorders>
        <w:top w:val="single" w:color="C0504D" w:themeColor="accent2" w:sz="24" w:space="0"/>
        <w:left w:val="single" w:color="4F81BD" w:themeColor="accent1" w:sz="4" w:space="0"/>
        <w:bottom w:val="single" w:color="4F81BD" w:themeColor="accent1" w:sz="4" w:space="0"/>
        <w:right w:val="single" w:color="4F81BD" w:themeColor="accent1" w:sz="4" w:space="0"/>
        <w:insideH w:val="single" w:color="FFFFFF" w:themeColor="background1" w:sz="4" w:space="0"/>
        <w:insideV w:val="single" w:color="FFFFFF" w:themeColor="background1" w:sz="4" w:space="0"/>
      </w:tblBorders>
    </w:tblPr>
    <w:tcPr>
      <w:shd w:val="clear" w:color="auto" w:fill="EDF2F8" w:themeFill="accen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2B4D74" w:themeFill="accent1"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2B4D74" w:themeFill="accent1"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2B4D74" w:themeFill="accent1" w:themeFillShade="99"/>
      </w:tcPr>
    </w:tblStylePr>
    <w:tblStylePr w:type="band1Vert">
      <w:tblPr/>
      <w:tcPr>
        <w:shd w:val="clear" w:color="auto" w:fill="B8CCE4" w:themeFill="accent1" w:themeFillTint="66"/>
      </w:tcPr>
    </w:tblStylePr>
    <w:tblStylePr w:type="band1Horz">
      <w:tblPr/>
      <w:tcPr>
        <w:shd w:val="clear" w:color="auto" w:fill="A7C0DE" w:themeFill="accent1"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3">
    <w:name w:val="Colorful Shading Accent 2"/>
    <w:basedOn w:val="32"/>
    <w:qFormat/>
    <w:uiPriority w:val="71"/>
    <w:rPr>
      <w:color w:val="000000" w:themeColor="text1"/>
      <w14:textFill>
        <w14:solidFill>
          <w14:schemeClr w14:val="tx1"/>
        </w14:solidFill>
      </w14:textFill>
    </w:rPr>
    <w:tblPr>
      <w:tblBorders>
        <w:top w:val="single" w:color="C0504D" w:themeColor="accent2" w:sz="24" w:space="0"/>
        <w:left w:val="single" w:color="C0504D" w:themeColor="accent2" w:sz="4" w:space="0"/>
        <w:bottom w:val="single" w:color="C0504D" w:themeColor="accent2" w:sz="4" w:space="0"/>
        <w:right w:val="single" w:color="C0504D" w:themeColor="accent2" w:sz="4" w:space="0"/>
        <w:insideH w:val="single" w:color="FFFFFF" w:themeColor="background1" w:sz="4" w:space="0"/>
        <w:insideV w:val="single" w:color="FFFFFF" w:themeColor="background1" w:sz="4" w:space="0"/>
      </w:tblBorders>
    </w:tblPr>
    <w:tcPr>
      <w:shd w:val="clear" w:color="auto" w:fill="F8EDED" w:themeFill="accent2"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772C2A" w:themeFill="accent2"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772C2A" w:themeFill="accent2"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4">
    <w:name w:val="Colorful Shading Accent 3"/>
    <w:basedOn w:val="32"/>
    <w:qFormat/>
    <w:uiPriority w:val="71"/>
    <w:rPr>
      <w:color w:val="000000" w:themeColor="text1"/>
      <w14:textFill>
        <w14:solidFill>
          <w14:schemeClr w14:val="tx1"/>
        </w14:solidFill>
      </w14:textFill>
    </w:rPr>
    <w:tblPr>
      <w:tblBorders>
        <w:top w:val="single" w:color="8064A2" w:themeColor="accent4" w:sz="24" w:space="0"/>
        <w:left w:val="single" w:color="9BBB59" w:themeColor="accent3" w:sz="4" w:space="0"/>
        <w:bottom w:val="single" w:color="9BBB59" w:themeColor="accent3" w:sz="4" w:space="0"/>
        <w:right w:val="single" w:color="9BBB59" w:themeColor="accent3" w:sz="4" w:space="0"/>
        <w:insideH w:val="single" w:color="FFFFFF" w:themeColor="background1" w:sz="4" w:space="0"/>
        <w:insideV w:val="single" w:color="FFFFFF" w:themeColor="background1" w:sz="4" w:space="0"/>
      </w:tblBorders>
    </w:tblPr>
    <w:tcPr>
      <w:shd w:val="clear" w:color="auto" w:fill="F5F8EE" w:themeFill="accent3" w:themeFillTint="19"/>
    </w:tcPr>
    <w:tblStylePr w:type="firstRow">
      <w:rPr>
        <w:b/>
        <w:bCs/>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5E7530" w:themeFill="accent3"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5E7530" w:themeFill="accent3"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115">
    <w:name w:val="Colorful Shading Accent 4"/>
    <w:basedOn w:val="32"/>
    <w:qFormat/>
    <w:uiPriority w:val="71"/>
    <w:rPr>
      <w:color w:val="000000" w:themeColor="text1"/>
      <w14:textFill>
        <w14:solidFill>
          <w14:schemeClr w14:val="tx1"/>
        </w14:solidFill>
      </w14:textFill>
    </w:rPr>
    <w:tblPr>
      <w:tblBorders>
        <w:top w:val="single" w:color="9BBB59" w:themeColor="accent3" w:sz="24" w:space="0"/>
        <w:left w:val="single" w:color="8064A2" w:themeColor="accent4" w:sz="4" w:space="0"/>
        <w:bottom w:val="single" w:color="8064A2" w:themeColor="accent4" w:sz="4" w:space="0"/>
        <w:right w:val="single" w:color="8064A2" w:themeColor="accent4" w:sz="4" w:space="0"/>
        <w:insideH w:val="single" w:color="FFFFFF" w:themeColor="background1" w:sz="4" w:space="0"/>
        <w:insideV w:val="single" w:color="FFFFFF" w:themeColor="background1" w:sz="4" w:space="0"/>
      </w:tblBorders>
    </w:tblPr>
    <w:tcPr>
      <w:shd w:val="clear" w:color="auto" w:fill="F2EFF5" w:themeFill="accent4" w:themeFillTint="19"/>
    </w:tcPr>
    <w:tblStylePr w:type="firstRow">
      <w:rPr>
        <w:b/>
        <w:bCs/>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4C3A62" w:themeFill="accent4"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4C3A62" w:themeFill="accent4"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4C3A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6">
    <w:name w:val="Colorful Shading Accent 5"/>
    <w:basedOn w:val="32"/>
    <w:qFormat/>
    <w:uiPriority w:val="71"/>
    <w:rPr>
      <w:color w:val="000000" w:themeColor="text1"/>
      <w14:textFill>
        <w14:solidFill>
          <w14:schemeClr w14:val="tx1"/>
        </w14:solidFill>
      </w14:textFill>
    </w:rPr>
    <w:tblPr>
      <w:tblBorders>
        <w:top w:val="single" w:color="F79646" w:themeColor="accent6" w:sz="24" w:space="0"/>
        <w:left w:val="single" w:color="4BACC6" w:themeColor="accent5" w:sz="4" w:space="0"/>
        <w:bottom w:val="single" w:color="4BACC6" w:themeColor="accent5" w:sz="4" w:space="0"/>
        <w:right w:val="single" w:color="4BACC6" w:themeColor="accent5" w:sz="4" w:space="0"/>
        <w:insideH w:val="single" w:color="FFFFFF" w:themeColor="background1" w:sz="4" w:space="0"/>
        <w:insideV w:val="single" w:color="FFFFFF" w:themeColor="background1" w:sz="4" w:space="0"/>
      </w:tblBorders>
    </w:tblPr>
    <w:tcPr>
      <w:shd w:val="clear" w:color="auto" w:fill="EDF6F9" w:themeFill="accent5" w:themeFillTint="19"/>
    </w:tcPr>
    <w:tblStylePr w:type="firstRow">
      <w:rPr>
        <w:b/>
        <w:bCs/>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276A7C" w:themeFill="accent5"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276A7C" w:themeFill="accent5"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7">
    <w:name w:val="Colorful Shading Accent 6"/>
    <w:basedOn w:val="32"/>
    <w:qFormat/>
    <w:uiPriority w:val="71"/>
    <w:rPr>
      <w:color w:val="000000" w:themeColor="text1"/>
      <w14:textFill>
        <w14:solidFill>
          <w14:schemeClr w14:val="tx1"/>
        </w14:solidFill>
      </w14:textFill>
    </w:rPr>
    <w:tblPr>
      <w:tblBorders>
        <w:top w:val="single" w:color="4BACC6" w:themeColor="accent5" w:sz="24" w:space="0"/>
        <w:left w:val="single" w:color="F79646" w:themeColor="accent6" w:sz="4" w:space="0"/>
        <w:bottom w:val="single" w:color="F79646" w:themeColor="accent6" w:sz="4" w:space="0"/>
        <w:right w:val="single" w:color="F79646" w:themeColor="accent6" w:sz="4" w:space="0"/>
        <w:insideH w:val="single" w:color="FFFFFF" w:themeColor="background1" w:sz="4" w:space="0"/>
        <w:insideV w:val="single" w:color="FFFFFF" w:themeColor="background1" w:sz="4" w:space="0"/>
      </w:tblBorders>
    </w:tblPr>
    <w:tcPr>
      <w:shd w:val="clear" w:color="auto" w:fill="FEF4EC" w:themeFill="accent6" w:themeFillTint="19"/>
    </w:tcPr>
    <w:tblStylePr w:type="firstRow">
      <w:rPr>
        <w:b/>
        <w:bCs/>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B65607" w:themeFill="accent6"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B65607" w:themeFill="accent6"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B65607"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8">
    <w:name w:val="Colorful List"/>
    <w:basedOn w:val="32"/>
    <w:qFormat/>
    <w:uiPriority w:val="72"/>
    <w:rPr>
      <w:color w:val="000000" w:themeColor="text1"/>
      <w14:textFill>
        <w14:solidFill>
          <w14:schemeClr w14:val="tx1"/>
        </w14:solidFill>
      </w14:textFill>
    </w:rPr>
    <w:tblPr>
      <w:tblStyleRowBandSize w:val="1"/>
      <w:tblStyleColBandSize w:val="1"/>
    </w:tblPr>
    <w:tcPr>
      <w:shd w:val="clear" w:color="auto" w:fill="E5E5E5" w:themeFill="text1"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FBFBF" w:themeFill="text1" w:themeFillTint="3F"/>
      </w:tcPr>
    </w:tblStylePr>
    <w:tblStylePr w:type="band1Horz">
      <w:tblPr/>
      <w:tcPr>
        <w:shd w:val="clear" w:color="auto" w:fill="CCCCCC" w:themeFill="text1" w:themeFillTint="33"/>
      </w:tcPr>
    </w:tblStylePr>
  </w:style>
  <w:style w:type="table" w:styleId="119">
    <w:name w:val="Colorful List Accent 1"/>
    <w:basedOn w:val="32"/>
    <w:qFormat/>
    <w:uiPriority w:val="72"/>
    <w:rPr>
      <w:color w:val="000000" w:themeColor="text1"/>
      <w14:textFill>
        <w14:solidFill>
          <w14:schemeClr w14:val="tx1"/>
        </w14:solidFill>
      </w14:textFill>
    </w:rPr>
    <w:tblPr>
      <w:tblStyleRowBandSize w:val="1"/>
      <w:tblStyleColBandSize w:val="1"/>
    </w:tblPr>
    <w:tcPr>
      <w:shd w:val="clear" w:color="auto" w:fill="EDF2F8" w:themeFill="accent1"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120">
    <w:name w:val="Colorful List Accent 2"/>
    <w:basedOn w:val="32"/>
    <w:qFormat/>
    <w:uiPriority w:val="72"/>
    <w:rPr>
      <w:color w:val="000000" w:themeColor="text1"/>
      <w14:textFill>
        <w14:solidFill>
          <w14:schemeClr w14:val="tx1"/>
        </w14:solidFill>
      </w14:textFill>
    </w:rPr>
    <w:tblPr>
      <w:tblStyleRowBandSize w:val="1"/>
      <w:tblStyleColBandSize w:val="1"/>
    </w:tblPr>
    <w:tcPr>
      <w:shd w:val="clear" w:color="auto" w:fill="F8EDED" w:themeFill="accent2"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3" w:themeFill="accent2" w:themeFillTint="3F"/>
      </w:tcPr>
    </w:tblStylePr>
    <w:tblStylePr w:type="band1Horz">
      <w:tblPr/>
      <w:tcPr>
        <w:shd w:val="clear" w:color="auto" w:fill="F2DBDB" w:themeFill="accent2" w:themeFillTint="33"/>
      </w:tcPr>
    </w:tblStylePr>
  </w:style>
  <w:style w:type="table" w:styleId="121">
    <w:name w:val="Colorful List Accent 3"/>
    <w:basedOn w:val="32"/>
    <w:qFormat/>
    <w:uiPriority w:val="72"/>
    <w:rPr>
      <w:color w:val="000000" w:themeColor="text1"/>
      <w14:textFill>
        <w14:solidFill>
          <w14:schemeClr w14:val="tx1"/>
        </w14:solidFill>
      </w14:textFill>
    </w:rPr>
    <w:tblPr>
      <w:tblStyleRowBandSize w:val="1"/>
      <w:tblStyleColBandSize w:val="1"/>
    </w:tblPr>
    <w:tcPr>
      <w:shd w:val="clear" w:color="auto" w:fill="F5F8EE" w:themeFill="accent3"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664E82" w:themeFill="accent4" w:themeFillShade="CC"/>
      </w:tcPr>
    </w:tblStylePr>
    <w:tblStylePr w:type="lastRow">
      <w:rPr>
        <w:b/>
        <w:bCs/>
        <w:color w:val="664F83" w:themeColor="accent4"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122">
    <w:name w:val="Colorful List Accent 4"/>
    <w:basedOn w:val="32"/>
    <w:qFormat/>
    <w:uiPriority w:val="72"/>
    <w:rPr>
      <w:color w:val="000000" w:themeColor="text1"/>
      <w14:textFill>
        <w14:solidFill>
          <w14:schemeClr w14:val="tx1"/>
        </w14:solidFill>
      </w14:textFill>
    </w:rPr>
    <w:tblPr>
      <w:tblStyleRowBandSize w:val="1"/>
      <w:tblStyleColBandSize w:val="1"/>
    </w:tblPr>
    <w:tcPr>
      <w:shd w:val="clear" w:color="auto" w:fill="F2EFF5" w:themeFill="accent4"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7E9C40" w:themeFill="accent3" w:themeFillShade="CC"/>
      </w:tcPr>
    </w:tblStylePr>
    <w:tblStylePr w:type="lastRow">
      <w:rPr>
        <w:b/>
        <w:bCs/>
        <w:color w:val="7E9D40" w:themeColor="accent3"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123">
    <w:name w:val="Colorful List Accent 5"/>
    <w:basedOn w:val="32"/>
    <w:qFormat/>
    <w:uiPriority w:val="72"/>
    <w:rPr>
      <w:color w:val="000000" w:themeColor="text1"/>
      <w14:textFill>
        <w14:solidFill>
          <w14:schemeClr w14:val="tx1"/>
        </w14:solidFill>
      </w14:textFill>
    </w:rPr>
    <w:tblPr>
      <w:tblStyleRowBandSize w:val="1"/>
      <w:tblStyleColBandSize w:val="1"/>
    </w:tblPr>
    <w:tcPr>
      <w:shd w:val="clear" w:color="auto" w:fill="EDF6F9" w:themeFill="accent5"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F3730A" w:themeFill="accent6" w:themeFillShade="CC"/>
      </w:tcPr>
    </w:tblStylePr>
    <w:tblStylePr w:type="lastRow">
      <w:rPr>
        <w:b/>
        <w:bCs/>
        <w:color w:val="F3740B" w:themeColor="accent6"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0" w:themeFill="accent5" w:themeFillTint="3F"/>
      </w:tcPr>
    </w:tblStylePr>
    <w:tblStylePr w:type="band1Horz">
      <w:tblPr/>
      <w:tcPr>
        <w:shd w:val="clear" w:color="auto" w:fill="DAEEF3" w:themeFill="accent5" w:themeFillTint="33"/>
      </w:tcPr>
    </w:tblStylePr>
  </w:style>
  <w:style w:type="table" w:styleId="124">
    <w:name w:val="Colorful List Accent 6"/>
    <w:basedOn w:val="32"/>
    <w:qFormat/>
    <w:uiPriority w:val="72"/>
    <w:rPr>
      <w:color w:val="000000" w:themeColor="text1"/>
      <w14:textFill>
        <w14:solidFill>
          <w14:schemeClr w14:val="tx1"/>
        </w14:solidFill>
      </w14:textFill>
    </w:rPr>
    <w:tblPr>
      <w:tblStyleRowBandSize w:val="1"/>
      <w:tblStyleColBandSize w:val="1"/>
    </w:tblPr>
    <w:tcPr>
      <w:shd w:val="clear" w:color="auto" w:fill="FEF4EC" w:themeFill="accent6"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348DA5" w:themeFill="accent5" w:themeFillShade="CC"/>
      </w:tcPr>
    </w:tblStylePr>
    <w:tblStylePr w:type="lastRow">
      <w:rPr>
        <w:b/>
        <w:bCs/>
        <w:color w:val="358EA6" w:themeColor="accent5"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5D1" w:themeFill="accent6" w:themeFillTint="3F"/>
      </w:tcPr>
    </w:tblStylePr>
    <w:tblStylePr w:type="band1Horz">
      <w:tblPr/>
      <w:tcPr>
        <w:shd w:val="clear" w:color="auto" w:fill="FDE9D9" w:themeFill="accent6" w:themeFillTint="33"/>
      </w:tcPr>
    </w:tblStylePr>
  </w:style>
  <w:style w:type="table" w:styleId="125">
    <w:name w:val="Colorful Grid"/>
    <w:basedOn w:val="32"/>
    <w:qFormat/>
    <w:uiPriority w:val="73"/>
    <w:rPr>
      <w:color w:val="000000" w:themeColor="text1"/>
      <w14:textFill>
        <w14:solidFill>
          <w14:schemeClr w14:val="tx1"/>
        </w14:solidFill>
      </w14:textFill>
    </w:rPr>
    <w:tblPr>
      <w:tblBorders>
        <w:insideH w:val="single" w:color="FFFFFF" w:themeColor="background1" w:sz="4" w:space="0"/>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14:textFill>
          <w14:solidFill>
            <w14:schemeClr w14:val="tx1"/>
          </w14:solidFill>
        </w14:textFill>
      </w:rPr>
      <w:tblPr/>
      <w:tcPr>
        <w:shd w:val="clear" w:color="auto" w:fill="999999" w:themeFill="text1" w:themeFillTint="66"/>
      </w:tcPr>
    </w:tblStylePr>
    <w:tblStylePr w:type="firstCol">
      <w:rPr>
        <w:color w:val="FFFFFF" w:themeColor="background1"/>
        <w14:textFill>
          <w14:solidFill>
            <w14:schemeClr w14:val="bg1"/>
          </w14:solidFill>
        </w14:textFill>
      </w:rPr>
      <w:tblPr/>
      <w:tcPr>
        <w:shd w:val="clear" w:color="auto" w:fill="000000" w:themeFill="text1" w:themeFillShade="BF"/>
      </w:tcPr>
    </w:tblStylePr>
    <w:tblStylePr w:type="lastCol">
      <w:rPr>
        <w:color w:val="FFFFFF" w:themeColor="background1"/>
        <w14:textFill>
          <w14:solidFill>
            <w14:schemeClr w14:val="bg1"/>
          </w14:solidFill>
        </w14:textFill>
      </w:rPr>
      <w:tblPr/>
      <w:tcPr>
        <w:shd w:val="clear" w:color="auto" w:fill="000000" w:themeFill="text1" w:themeFillShade="BF"/>
      </w:tcPr>
    </w:tblStylePr>
    <w:tblStylePr w:type="band1Vert">
      <w:tblPr/>
      <w:tcPr>
        <w:shd w:val="clear" w:color="auto" w:fill="7F7F7F" w:themeFill="text1" w:themeFillTint="7F"/>
      </w:tcPr>
    </w:tblStylePr>
    <w:tblStylePr w:type="band1Horz">
      <w:tblPr/>
      <w:tcPr>
        <w:shd w:val="clear" w:color="auto" w:fill="7F7F7F" w:themeFill="text1" w:themeFillTint="7F"/>
      </w:tcPr>
    </w:tblStylePr>
  </w:style>
  <w:style w:type="table" w:styleId="126">
    <w:name w:val="Colorful Grid Accent 1"/>
    <w:basedOn w:val="32"/>
    <w:qFormat/>
    <w:uiPriority w:val="73"/>
    <w:rPr>
      <w:color w:val="000000" w:themeColor="text1"/>
      <w14:textFill>
        <w14:solidFill>
          <w14:schemeClr w14:val="tx1"/>
        </w14:solidFill>
      </w14:textFill>
    </w:rPr>
    <w:tblPr>
      <w:tblBorders>
        <w:insideH w:val="single" w:color="FFFFFF" w:themeColor="background1" w:sz="4" w:space="0"/>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14:textFill>
          <w14:solidFill>
            <w14:schemeClr w14:val="tx1"/>
          </w14:solidFill>
        </w14:textFill>
      </w:rPr>
      <w:tblPr/>
      <w:tcPr>
        <w:shd w:val="clear" w:color="auto" w:fill="B8CCE4" w:themeFill="accent1" w:themeFillTint="66"/>
      </w:tcPr>
    </w:tblStylePr>
    <w:tblStylePr w:type="firstCol">
      <w:rPr>
        <w:color w:val="FFFFFF" w:themeColor="background1"/>
        <w14:textFill>
          <w14:solidFill>
            <w14:schemeClr w14:val="bg1"/>
          </w14:solidFill>
        </w14:textFill>
      </w:rPr>
      <w:tblPr/>
      <w:tcPr>
        <w:shd w:val="clear" w:color="auto" w:fill="366091" w:themeFill="accent1" w:themeFillShade="BF"/>
      </w:tcPr>
    </w:tblStylePr>
    <w:tblStylePr w:type="lastCol">
      <w:rPr>
        <w:color w:val="FFFFFF" w:themeColor="background1"/>
        <w14:textFill>
          <w14:solidFill>
            <w14:schemeClr w14:val="bg1"/>
          </w14:solidFill>
        </w14:textFill>
      </w:rPr>
      <w:tblPr/>
      <w:tcPr>
        <w:shd w:val="clear" w:color="auto" w:fill="366091" w:themeFill="accent1" w:themeFillShade="BF"/>
      </w:tcPr>
    </w:tblStylePr>
    <w:tblStylePr w:type="band1Vert">
      <w:tblPr/>
      <w:tcPr>
        <w:shd w:val="clear" w:color="auto" w:fill="A7C0DE" w:themeFill="accent1" w:themeFillTint="7F"/>
      </w:tcPr>
    </w:tblStylePr>
    <w:tblStylePr w:type="band1Horz">
      <w:tblPr/>
      <w:tcPr>
        <w:shd w:val="clear" w:color="auto" w:fill="A7C0DE" w:themeFill="accent1" w:themeFillTint="7F"/>
      </w:tcPr>
    </w:tblStylePr>
  </w:style>
  <w:style w:type="table" w:styleId="127">
    <w:name w:val="Colorful Grid Accent 2"/>
    <w:basedOn w:val="32"/>
    <w:qFormat/>
    <w:uiPriority w:val="73"/>
    <w:rPr>
      <w:color w:val="000000" w:themeColor="text1"/>
      <w14:textFill>
        <w14:solidFill>
          <w14:schemeClr w14:val="tx1"/>
        </w14:solidFill>
      </w14:textFill>
    </w:rPr>
    <w:tblPr>
      <w:tblBorders>
        <w:insideH w:val="single" w:color="FFFFFF" w:themeColor="background1" w:sz="4" w:space="0"/>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14:textFill>
          <w14:solidFill>
            <w14:schemeClr w14:val="tx1"/>
          </w14:solidFill>
        </w14:textFill>
      </w:rPr>
      <w:tblPr/>
      <w:tcPr>
        <w:shd w:val="clear" w:color="auto" w:fill="E5B8B7" w:themeFill="accent2" w:themeFillTint="66"/>
      </w:tcPr>
    </w:tblStylePr>
    <w:tblStylePr w:type="firstCol">
      <w:rPr>
        <w:color w:val="FFFFFF" w:themeColor="background1"/>
        <w14:textFill>
          <w14:solidFill>
            <w14:schemeClr w14:val="bg1"/>
          </w14:solidFill>
        </w14:textFill>
      </w:rPr>
      <w:tblPr/>
      <w:tcPr>
        <w:shd w:val="clear" w:color="auto" w:fill="943734" w:themeFill="accent2" w:themeFillShade="BF"/>
      </w:tcPr>
    </w:tblStylePr>
    <w:tblStylePr w:type="lastCol">
      <w:rPr>
        <w:color w:val="FFFFFF" w:themeColor="background1"/>
        <w14:textFill>
          <w14:solidFill>
            <w14:schemeClr w14:val="bg1"/>
          </w14:solidFill>
        </w14:textFill>
      </w:rPr>
      <w:tblPr/>
      <w:tcPr>
        <w:shd w:val="clear" w:color="auto" w:fill="9437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28">
    <w:name w:val="Colorful Grid Accent 3"/>
    <w:basedOn w:val="32"/>
    <w:qFormat/>
    <w:uiPriority w:val="73"/>
    <w:rPr>
      <w:color w:val="000000" w:themeColor="text1"/>
      <w14:textFill>
        <w14:solidFill>
          <w14:schemeClr w14:val="tx1"/>
        </w14:solidFill>
      </w14:textFill>
    </w:rPr>
    <w:tblPr>
      <w:tblBorders>
        <w:insideH w:val="single" w:color="FFFFFF" w:themeColor="background1" w:sz="4" w:space="0"/>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14:textFill>
          <w14:solidFill>
            <w14:schemeClr w14:val="tx1"/>
          </w14:solidFill>
        </w14:textFill>
      </w:rPr>
      <w:tblPr/>
      <w:tcPr>
        <w:shd w:val="clear" w:color="auto" w:fill="D6E3BC" w:themeFill="accent3" w:themeFillTint="66"/>
      </w:tcPr>
    </w:tblStylePr>
    <w:tblStylePr w:type="firstCol">
      <w:rPr>
        <w:color w:val="FFFFFF" w:themeColor="background1"/>
        <w14:textFill>
          <w14:solidFill>
            <w14:schemeClr w14:val="bg1"/>
          </w14:solidFill>
        </w14:textFill>
      </w:rPr>
      <w:tblPr/>
      <w:tcPr>
        <w:shd w:val="clear" w:color="auto" w:fill="76923C" w:themeFill="accent3" w:themeFillShade="BF"/>
      </w:tcPr>
    </w:tblStylePr>
    <w:tblStylePr w:type="lastCol">
      <w:rPr>
        <w:color w:val="FFFFFF" w:themeColor="background1"/>
        <w14:textFill>
          <w14:solidFill>
            <w14:schemeClr w14:val="bg1"/>
          </w14:solidFill>
        </w14:textFill>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29">
    <w:name w:val="Colorful Grid Accent 4"/>
    <w:basedOn w:val="32"/>
    <w:qFormat/>
    <w:uiPriority w:val="73"/>
    <w:rPr>
      <w:color w:val="000000" w:themeColor="text1"/>
      <w14:textFill>
        <w14:solidFill>
          <w14:schemeClr w14:val="tx1"/>
        </w14:solidFill>
      </w14:textFill>
    </w:rPr>
    <w:tblPr>
      <w:tblBorders>
        <w:insideH w:val="single" w:color="FFFFFF" w:themeColor="background1" w:sz="4" w:space="0"/>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14:textFill>
          <w14:solidFill>
            <w14:schemeClr w14:val="tx1"/>
          </w14:solidFill>
        </w14:textFill>
      </w:rPr>
      <w:tblPr/>
      <w:tcPr>
        <w:shd w:val="clear" w:color="auto" w:fill="CCC0D9" w:themeFill="accent4" w:themeFillTint="66"/>
      </w:tcPr>
    </w:tblStylePr>
    <w:tblStylePr w:type="firstCol">
      <w:rPr>
        <w:color w:val="FFFFFF" w:themeColor="background1"/>
        <w14:textFill>
          <w14:solidFill>
            <w14:schemeClr w14:val="bg1"/>
          </w14:solidFill>
        </w14:textFill>
      </w:rPr>
      <w:tblPr/>
      <w:tcPr>
        <w:shd w:val="clear" w:color="auto" w:fill="5F497A" w:themeFill="accent4" w:themeFillShade="BF"/>
      </w:tcPr>
    </w:tblStylePr>
    <w:tblStylePr w:type="lastCol">
      <w:rPr>
        <w:color w:val="FFFFFF" w:themeColor="background1"/>
        <w14:textFill>
          <w14:solidFill>
            <w14:schemeClr w14:val="bg1"/>
          </w14:solidFill>
        </w14:textFill>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30">
    <w:name w:val="Colorful Grid Accent 5"/>
    <w:basedOn w:val="32"/>
    <w:qFormat/>
    <w:uiPriority w:val="73"/>
    <w:rPr>
      <w:color w:val="000000" w:themeColor="text1"/>
      <w14:textFill>
        <w14:solidFill>
          <w14:schemeClr w14:val="tx1"/>
        </w14:solidFill>
      </w14:textFill>
    </w:rPr>
    <w:tblPr>
      <w:tblBorders>
        <w:insideH w:val="single" w:color="FFFFFF" w:themeColor="background1" w:sz="4" w:space="0"/>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14:textFill>
          <w14:solidFill>
            <w14:schemeClr w14:val="tx1"/>
          </w14:solidFill>
        </w14:textFill>
      </w:rPr>
      <w:tblPr/>
      <w:tcPr>
        <w:shd w:val="clear" w:color="auto" w:fill="B6DDE8" w:themeFill="accent5" w:themeFillTint="66"/>
      </w:tcPr>
    </w:tblStylePr>
    <w:tblStylePr w:type="firstCol">
      <w:rPr>
        <w:color w:val="FFFFFF" w:themeColor="background1"/>
        <w14:textFill>
          <w14:solidFill>
            <w14:schemeClr w14:val="bg1"/>
          </w14:solidFill>
        </w14:textFill>
      </w:rPr>
      <w:tblPr/>
      <w:tcPr>
        <w:shd w:val="clear" w:color="auto" w:fill="31849B" w:themeFill="accent5" w:themeFillShade="BF"/>
      </w:tcPr>
    </w:tblStylePr>
    <w:tblStylePr w:type="lastCol">
      <w:rPr>
        <w:color w:val="FFFFFF" w:themeColor="background1"/>
        <w14:textFill>
          <w14:solidFill>
            <w14:schemeClr w14:val="bg1"/>
          </w14:solidFill>
        </w14:textFill>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31">
    <w:name w:val="Colorful Grid Accent 6"/>
    <w:basedOn w:val="32"/>
    <w:qFormat/>
    <w:uiPriority w:val="73"/>
    <w:rPr>
      <w:color w:val="000000" w:themeColor="text1"/>
      <w14:textFill>
        <w14:solidFill>
          <w14:schemeClr w14:val="tx1"/>
        </w14:solidFill>
      </w14:textFill>
    </w:rPr>
    <w:tblPr>
      <w:tblBorders>
        <w:insideH w:val="single" w:color="FFFFFF" w:themeColor="background1" w:sz="4" w:space="0"/>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14:textFill>
          <w14:solidFill>
            <w14:schemeClr w14:val="tx1"/>
          </w14:solidFill>
        </w14:textFill>
      </w:rPr>
      <w:tblPr/>
      <w:tcPr>
        <w:shd w:val="clear" w:color="auto" w:fill="FBD4B4" w:themeFill="accent6" w:themeFillTint="66"/>
      </w:tcPr>
    </w:tblStylePr>
    <w:tblStylePr w:type="firstCol">
      <w:rPr>
        <w:color w:val="FFFFFF" w:themeColor="background1"/>
        <w14:textFill>
          <w14:solidFill>
            <w14:schemeClr w14:val="bg1"/>
          </w14:solidFill>
        </w14:textFill>
      </w:rPr>
      <w:tblPr/>
      <w:tcPr>
        <w:shd w:val="clear" w:color="auto" w:fill="E36C09" w:themeFill="accent6" w:themeFillShade="BF"/>
      </w:tcPr>
    </w:tblStylePr>
    <w:tblStylePr w:type="lastCol">
      <w:rPr>
        <w:color w:val="FFFFFF" w:themeColor="background1"/>
        <w14:textFill>
          <w14:solidFill>
            <w14:schemeClr w14:val="bg1"/>
          </w14:solidFill>
        </w14:textFill>
      </w:rPr>
      <w:tblPr/>
      <w:tcPr>
        <w:shd w:val="clear" w:color="auto" w:fill="E36C09"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133">
    <w:name w:val="Strong"/>
    <w:basedOn w:val="132"/>
    <w:qFormat/>
    <w:uiPriority w:val="22"/>
    <w:rPr>
      <w:b/>
      <w:bCs/>
    </w:rPr>
  </w:style>
  <w:style w:type="character" w:styleId="134">
    <w:name w:val="Emphasis"/>
    <w:basedOn w:val="132"/>
    <w:qFormat/>
    <w:uiPriority w:val="20"/>
    <w:rPr>
      <w:i/>
      <w:iCs/>
    </w:rPr>
  </w:style>
  <w:style w:type="character" w:customStyle="1" w:styleId="135">
    <w:name w:val="页眉 字符"/>
    <w:basedOn w:val="132"/>
    <w:link w:val="25"/>
    <w:qFormat/>
    <w:uiPriority w:val="99"/>
  </w:style>
  <w:style w:type="character" w:customStyle="1" w:styleId="136">
    <w:name w:val="页脚 字符"/>
    <w:basedOn w:val="132"/>
    <w:link w:val="24"/>
    <w:qFormat/>
    <w:uiPriority w:val="99"/>
  </w:style>
  <w:style w:type="paragraph" w:styleId="137">
    <w:name w:val="No Spacing"/>
    <w:qFormat/>
    <w:uiPriority w:val="1"/>
    <w:rPr>
      <w:rFonts w:asciiTheme="minorHAnsi" w:hAnsiTheme="minorHAnsi" w:eastAsiaTheme="minorEastAsia" w:cstheme="minorBidi"/>
      <w:sz w:val="22"/>
      <w:szCs w:val="22"/>
      <w:lang w:val="en-US" w:eastAsia="en-US" w:bidi="ar-SA"/>
    </w:rPr>
  </w:style>
  <w:style w:type="character" w:customStyle="1" w:styleId="138">
    <w:name w:val="标题 1 字符"/>
    <w:basedOn w:val="132"/>
    <w:link w:val="3"/>
    <w:qFormat/>
    <w:uiPriority w:val="9"/>
    <w:rPr>
      <w:rFonts w:asciiTheme="majorHAnsi" w:hAnsiTheme="majorHAnsi" w:eastAsiaTheme="majorEastAsia" w:cstheme="majorBidi"/>
      <w:b/>
      <w:bCs/>
      <w:color w:val="376092" w:themeColor="accent1" w:themeShade="BF"/>
      <w:sz w:val="28"/>
      <w:szCs w:val="28"/>
    </w:rPr>
  </w:style>
  <w:style w:type="character" w:customStyle="1" w:styleId="139">
    <w:name w:val="标题 2 字符"/>
    <w:basedOn w:val="132"/>
    <w:link w:val="4"/>
    <w:qFormat/>
    <w:uiPriority w:val="9"/>
    <w:rPr>
      <w:rFonts w:asciiTheme="majorHAnsi" w:hAnsiTheme="majorHAnsi" w:eastAsiaTheme="majorEastAsia" w:cstheme="majorBidi"/>
      <w:b/>
      <w:bCs/>
      <w:color w:val="4F81BD" w:themeColor="accent1"/>
      <w:sz w:val="26"/>
      <w:szCs w:val="26"/>
      <w14:textFill>
        <w14:solidFill>
          <w14:schemeClr w14:val="accent1"/>
        </w14:solidFill>
      </w14:textFill>
    </w:rPr>
  </w:style>
  <w:style w:type="character" w:customStyle="1" w:styleId="140">
    <w:name w:val="标题 3 字符"/>
    <w:basedOn w:val="132"/>
    <w:link w:val="5"/>
    <w:qFormat/>
    <w:uiPriority w:val="9"/>
    <w:rPr>
      <w:rFonts w:asciiTheme="majorHAnsi" w:hAnsiTheme="majorHAnsi" w:eastAsiaTheme="majorEastAsia" w:cstheme="majorBidi"/>
      <w:b/>
      <w:bCs/>
      <w:color w:val="4F81BD" w:themeColor="accent1"/>
      <w14:textFill>
        <w14:solidFill>
          <w14:schemeClr w14:val="accent1"/>
        </w14:solidFill>
      </w14:textFill>
    </w:rPr>
  </w:style>
  <w:style w:type="character" w:customStyle="1" w:styleId="141">
    <w:name w:val="标题 字符"/>
    <w:basedOn w:val="132"/>
    <w:link w:val="31"/>
    <w:qFormat/>
    <w:uiPriority w:val="10"/>
    <w:rPr>
      <w:rFonts w:asciiTheme="majorHAnsi" w:hAnsiTheme="majorHAnsi" w:eastAsiaTheme="majorEastAsia" w:cstheme="majorBidi"/>
      <w:color w:val="17375E" w:themeColor="text2" w:themeShade="BF"/>
      <w:spacing w:val="5"/>
      <w:kern w:val="28"/>
      <w:sz w:val="52"/>
      <w:szCs w:val="52"/>
    </w:rPr>
  </w:style>
  <w:style w:type="character" w:customStyle="1" w:styleId="142">
    <w:name w:val="副标题 字符"/>
    <w:basedOn w:val="132"/>
    <w:link w:val="26"/>
    <w:qFormat/>
    <w:uiPriority w:val="11"/>
    <w:rPr>
      <w:rFonts w:asciiTheme="majorHAnsi" w:hAnsiTheme="majorHAnsi" w:eastAsiaTheme="majorEastAsia" w:cstheme="majorBidi"/>
      <w:i/>
      <w:iCs/>
      <w:color w:val="4F81BD" w:themeColor="accent1"/>
      <w:spacing w:val="15"/>
      <w:sz w:val="24"/>
      <w:szCs w:val="24"/>
      <w14:textFill>
        <w14:solidFill>
          <w14:schemeClr w14:val="accent1"/>
        </w14:solidFill>
      </w14:textFill>
    </w:rPr>
  </w:style>
  <w:style w:type="paragraph" w:styleId="143">
    <w:name w:val="List Paragraph"/>
    <w:basedOn w:val="1"/>
    <w:qFormat/>
    <w:uiPriority w:val="34"/>
    <w:pPr>
      <w:ind w:left="720"/>
      <w:contextualSpacing/>
    </w:pPr>
  </w:style>
  <w:style w:type="character" w:customStyle="1" w:styleId="144">
    <w:name w:val="正文文本 字符"/>
    <w:basedOn w:val="132"/>
    <w:link w:val="19"/>
    <w:qFormat/>
    <w:uiPriority w:val="99"/>
  </w:style>
  <w:style w:type="character" w:customStyle="1" w:styleId="145">
    <w:name w:val="正文文本 2 字符"/>
    <w:basedOn w:val="132"/>
    <w:link w:val="28"/>
    <w:qFormat/>
    <w:uiPriority w:val="99"/>
  </w:style>
  <w:style w:type="character" w:customStyle="1" w:styleId="146">
    <w:name w:val="正文文本 3 字符"/>
    <w:basedOn w:val="132"/>
    <w:link w:val="17"/>
    <w:qFormat/>
    <w:uiPriority w:val="99"/>
    <w:rPr>
      <w:sz w:val="16"/>
      <w:szCs w:val="16"/>
    </w:rPr>
  </w:style>
  <w:style w:type="character" w:customStyle="1" w:styleId="147">
    <w:name w:val="宏文本 字符"/>
    <w:basedOn w:val="132"/>
    <w:link w:val="2"/>
    <w:qFormat/>
    <w:uiPriority w:val="99"/>
    <w:rPr>
      <w:rFonts w:ascii="Courier" w:hAnsi="Courier"/>
      <w:sz w:val="20"/>
      <w:szCs w:val="20"/>
    </w:rPr>
  </w:style>
  <w:style w:type="paragraph" w:styleId="148">
    <w:name w:val="Quote"/>
    <w:basedOn w:val="1"/>
    <w:next w:val="1"/>
    <w:link w:val="149"/>
    <w:qFormat/>
    <w:uiPriority w:val="29"/>
    <w:rPr>
      <w:i/>
      <w:iCs/>
      <w:color w:val="000000" w:themeColor="text1"/>
      <w14:textFill>
        <w14:solidFill>
          <w14:schemeClr w14:val="tx1"/>
        </w14:solidFill>
      </w14:textFill>
    </w:rPr>
  </w:style>
  <w:style w:type="character" w:customStyle="1" w:styleId="149">
    <w:name w:val="引用 字符"/>
    <w:basedOn w:val="132"/>
    <w:link w:val="148"/>
    <w:qFormat/>
    <w:uiPriority w:val="29"/>
    <w:rPr>
      <w:i/>
      <w:iCs/>
      <w:color w:val="000000" w:themeColor="text1"/>
      <w14:textFill>
        <w14:solidFill>
          <w14:schemeClr w14:val="tx1"/>
        </w14:solidFill>
      </w14:textFill>
    </w:rPr>
  </w:style>
  <w:style w:type="character" w:customStyle="1" w:styleId="150">
    <w:name w:val="标题 4 字符"/>
    <w:basedOn w:val="132"/>
    <w:link w:val="6"/>
    <w:semiHidden/>
    <w:qFormat/>
    <w:uiPriority w:val="9"/>
    <w:rPr>
      <w:rFonts w:asciiTheme="majorHAnsi" w:hAnsiTheme="majorHAnsi" w:eastAsiaTheme="majorEastAsia" w:cstheme="majorBidi"/>
      <w:b/>
      <w:bCs/>
      <w:i/>
      <w:iCs/>
      <w:color w:val="4F81BD" w:themeColor="accent1"/>
      <w14:textFill>
        <w14:solidFill>
          <w14:schemeClr w14:val="accent1"/>
        </w14:solidFill>
      </w14:textFill>
    </w:rPr>
  </w:style>
  <w:style w:type="character" w:customStyle="1" w:styleId="151">
    <w:name w:val="标题 5 字符"/>
    <w:basedOn w:val="132"/>
    <w:link w:val="7"/>
    <w:semiHidden/>
    <w:qFormat/>
    <w:uiPriority w:val="9"/>
    <w:rPr>
      <w:rFonts w:asciiTheme="majorHAnsi" w:hAnsiTheme="majorHAnsi" w:eastAsiaTheme="majorEastAsia" w:cstheme="majorBidi"/>
      <w:color w:val="254061" w:themeColor="accent1" w:themeShade="80"/>
    </w:rPr>
  </w:style>
  <w:style w:type="character" w:customStyle="1" w:styleId="152">
    <w:name w:val="标题 6 字符"/>
    <w:basedOn w:val="132"/>
    <w:link w:val="8"/>
    <w:semiHidden/>
    <w:qFormat/>
    <w:uiPriority w:val="9"/>
    <w:rPr>
      <w:rFonts w:asciiTheme="majorHAnsi" w:hAnsiTheme="majorHAnsi" w:eastAsiaTheme="majorEastAsia" w:cstheme="majorBidi"/>
      <w:i/>
      <w:iCs/>
      <w:color w:val="254061" w:themeColor="accent1" w:themeShade="80"/>
    </w:rPr>
  </w:style>
  <w:style w:type="character" w:customStyle="1" w:styleId="153">
    <w:name w:val="标题 7 字符"/>
    <w:basedOn w:val="132"/>
    <w:link w:val="9"/>
    <w:semiHidden/>
    <w:qFormat/>
    <w:uiPriority w:val="9"/>
    <w:rPr>
      <w:rFonts w:asciiTheme="majorHAnsi" w:hAnsiTheme="majorHAnsi" w:eastAsiaTheme="majorEastAsia" w:cstheme="majorBidi"/>
      <w:i/>
      <w:iCs/>
      <w:color w:val="404040" w:themeColor="text1" w:themeTint="BF"/>
      <w14:textFill>
        <w14:solidFill>
          <w14:schemeClr w14:val="tx1">
            <w14:lumMod w14:val="75000"/>
            <w14:lumOff w14:val="25000"/>
          </w14:schemeClr>
        </w14:solidFill>
      </w14:textFill>
    </w:rPr>
  </w:style>
  <w:style w:type="character" w:customStyle="1" w:styleId="154">
    <w:name w:val="标题 8 字符"/>
    <w:basedOn w:val="132"/>
    <w:link w:val="10"/>
    <w:semiHidden/>
    <w:qFormat/>
    <w:uiPriority w:val="9"/>
    <w:rPr>
      <w:rFonts w:asciiTheme="majorHAnsi" w:hAnsiTheme="majorHAnsi" w:eastAsiaTheme="majorEastAsia" w:cstheme="majorBidi"/>
      <w:color w:val="4F81BD" w:themeColor="accent1"/>
      <w:sz w:val="20"/>
      <w:szCs w:val="20"/>
      <w14:textFill>
        <w14:solidFill>
          <w14:schemeClr w14:val="accent1"/>
        </w14:solidFill>
      </w14:textFill>
    </w:rPr>
  </w:style>
  <w:style w:type="character" w:customStyle="1" w:styleId="155">
    <w:name w:val="标题 9 字符"/>
    <w:basedOn w:val="132"/>
    <w:link w:val="11"/>
    <w:semiHidden/>
    <w:qFormat/>
    <w:uiPriority w:val="9"/>
    <w:rPr>
      <w:rFonts w:asciiTheme="majorHAnsi" w:hAnsiTheme="majorHAnsi" w:eastAsiaTheme="majorEastAsia" w:cstheme="majorBidi"/>
      <w:i/>
      <w:iCs/>
      <w:color w:val="404040" w:themeColor="text1" w:themeTint="BF"/>
      <w:sz w:val="20"/>
      <w:szCs w:val="20"/>
      <w14:textFill>
        <w14:solidFill>
          <w14:schemeClr w14:val="tx1">
            <w14:lumMod w14:val="75000"/>
            <w14:lumOff w14:val="25000"/>
          </w14:schemeClr>
        </w14:solidFill>
      </w14:textFill>
    </w:rPr>
  </w:style>
  <w:style w:type="paragraph" w:styleId="156">
    <w:name w:val="Intense Quote"/>
    <w:basedOn w:val="1"/>
    <w:next w:val="1"/>
    <w:link w:val="157"/>
    <w:qFormat/>
    <w:uiPriority w:val="30"/>
    <w:pPr>
      <w:pBdr>
        <w:bottom w:val="single" w:color="4F81BD" w:themeColor="accent1" w:sz="4" w:space="4"/>
      </w:pBdr>
      <w:spacing w:before="200" w:after="280"/>
      <w:ind w:left="936" w:right="936"/>
    </w:pPr>
    <w:rPr>
      <w:b/>
      <w:bCs/>
      <w:i/>
      <w:iCs/>
      <w:color w:val="4F81BD" w:themeColor="accent1"/>
      <w14:textFill>
        <w14:solidFill>
          <w14:schemeClr w14:val="accent1"/>
        </w14:solidFill>
      </w14:textFill>
    </w:rPr>
  </w:style>
  <w:style w:type="character" w:customStyle="1" w:styleId="157">
    <w:name w:val="明显引用 字符"/>
    <w:basedOn w:val="132"/>
    <w:link w:val="156"/>
    <w:qFormat/>
    <w:uiPriority w:val="30"/>
    <w:rPr>
      <w:b/>
      <w:bCs/>
      <w:i/>
      <w:iCs/>
      <w:color w:val="4F81BD" w:themeColor="accent1"/>
      <w14:textFill>
        <w14:solidFill>
          <w14:schemeClr w14:val="accent1"/>
        </w14:solidFill>
      </w14:textFill>
    </w:rPr>
  </w:style>
  <w:style w:type="character" w:customStyle="1" w:styleId="158">
    <w:name w:val="不明显强调1"/>
    <w:basedOn w:val="132"/>
    <w:qFormat/>
    <w:uiPriority w:val="19"/>
    <w:rPr>
      <w:i/>
      <w:iCs/>
      <w:color w:val="808080" w:themeColor="text1" w:themeTint="80"/>
      <w14:textFill>
        <w14:solidFill>
          <w14:schemeClr w14:val="tx1">
            <w14:lumMod w14:val="50000"/>
            <w14:lumOff w14:val="50000"/>
          </w14:schemeClr>
        </w14:solidFill>
      </w14:textFill>
    </w:rPr>
  </w:style>
  <w:style w:type="character" w:customStyle="1" w:styleId="159">
    <w:name w:val="明显强调1"/>
    <w:basedOn w:val="132"/>
    <w:qFormat/>
    <w:uiPriority w:val="21"/>
    <w:rPr>
      <w:b/>
      <w:bCs/>
      <w:i/>
      <w:iCs/>
      <w:color w:val="4F81BD" w:themeColor="accent1"/>
      <w14:textFill>
        <w14:solidFill>
          <w14:schemeClr w14:val="accent1"/>
        </w14:solidFill>
      </w14:textFill>
    </w:rPr>
  </w:style>
  <w:style w:type="character" w:customStyle="1" w:styleId="160">
    <w:name w:val="不明显参考1"/>
    <w:basedOn w:val="132"/>
    <w:qFormat/>
    <w:uiPriority w:val="31"/>
    <w:rPr>
      <w:smallCaps/>
      <w:color w:val="C0504D" w:themeColor="accent2"/>
      <w:u w:val="single"/>
      <w14:textFill>
        <w14:solidFill>
          <w14:schemeClr w14:val="accent2"/>
        </w14:solidFill>
      </w14:textFill>
    </w:rPr>
  </w:style>
  <w:style w:type="character" w:customStyle="1" w:styleId="161">
    <w:name w:val="明显参考1"/>
    <w:basedOn w:val="132"/>
    <w:qFormat/>
    <w:uiPriority w:val="32"/>
    <w:rPr>
      <w:b/>
      <w:bCs/>
      <w:smallCaps/>
      <w:color w:val="C0504D" w:themeColor="accent2"/>
      <w:spacing w:val="5"/>
      <w:u w:val="single"/>
      <w14:textFill>
        <w14:solidFill>
          <w14:schemeClr w14:val="accent2"/>
        </w14:solidFill>
      </w14:textFill>
    </w:rPr>
  </w:style>
  <w:style w:type="character" w:customStyle="1" w:styleId="162">
    <w:name w:val="书籍标题1"/>
    <w:basedOn w:val="132"/>
    <w:qFormat/>
    <w:uiPriority w:val="33"/>
    <w:rPr>
      <w:b/>
      <w:bCs/>
      <w:smallCaps/>
      <w:spacing w:val="5"/>
    </w:rPr>
  </w:style>
  <w:style w:type="paragraph" w:customStyle="1" w:styleId="163">
    <w:name w:val="TOC 标题1"/>
    <w:basedOn w:val="3"/>
    <w:next w:val="1"/>
    <w:semiHidden/>
    <w:unhideWhenUsed/>
    <w:qFormat/>
    <w:uiPriority w:val="39"/>
    <w:pPr>
      <w:outlineLvl w:val="9"/>
    </w:p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numbering" Target="numbering.xml"/><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datastoreItem>
</file>

<file path=docProps/app.xml><?xml version="1.0" encoding="utf-8"?>
<Properties xmlns="http://schemas.openxmlformats.org/officeDocument/2006/extended-properties" xmlns:vt="http://schemas.openxmlformats.org/officeDocument/2006/docPropsVTypes">
  <Template>Normal</Template>
  <Pages>11</Pages>
  <Words>5084</Words>
  <Characters>5158</Characters>
  <Lines>121</Lines>
  <Paragraphs>81</Paragraphs>
  <TotalTime>69</TotalTime>
  <ScaleCrop>false</ScaleCrop>
  <LinksUpToDate>false</LinksUpToDate>
  <CharactersWithSpaces>5211</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2026-08-06T10:33:00Z</dcterms:created>
  <dc:creator>python-docx</dc:creator>
  <dc:description>generated by python-docx</dc:description>
  <cp:lastModifiedBy>王奕栋</cp:lastModifiedBy>
  <cp:lastPrinted>2026-08-06T10:41:00Z</cp:lastPrinted>
  <dcterms:modified xsi:type="dcterms:W3CDTF">2026-08-27T06:08:39Z</dcterms:modified>
  <cp:revision>60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eyJoZGlkIjoiMzEwNTM5NzYwMDRjMzkwZTVkZjY2ODkwMGIxNGU0OTUiLCJ1c2VySWQiOiI0MTMxMzU3MTMifQ==</vt:lpwstr>
  </property>
  <property fmtid="{D5CDD505-2E9C-101B-9397-08002B2CF9AE}" pid="3" name="KSOProductBuildVer">
    <vt:lpwstr>2052-12.1.0.28043</vt:lpwstr>
  </property>
  <property fmtid="{D5CDD505-2E9C-101B-9397-08002B2CF9AE}" pid="4" name="ICV">
    <vt:lpwstr>7E9EE588853341B6962A6FCE32F93116_13</vt:lpwstr>
  </property>
</Properties>
</file>